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0A0" w:firstRow="1" w:lastRow="0" w:firstColumn="1" w:lastColumn="0" w:noHBand="0" w:noVBand="0"/>
      </w:tblPr>
      <w:tblGrid>
        <w:gridCol w:w="10071"/>
        <w:gridCol w:w="4501"/>
      </w:tblGrid>
      <w:tr w:rsidR="0069188A" w:rsidRPr="00EA6EFB" w14:paraId="26E7DDDC" w14:textId="77777777" w:rsidTr="00D02596">
        <w:trPr>
          <w:trHeight w:hRule="exact" w:val="284"/>
        </w:trPr>
        <w:tc>
          <w:tcPr>
            <w:tcW w:w="14572" w:type="dxa"/>
            <w:gridSpan w:val="2"/>
            <w:tcBorders>
              <w:bottom w:val="single" w:sz="4" w:space="0" w:color="auto"/>
            </w:tcBorders>
            <w:shd w:val="clear" w:color="auto" w:fill="F18213"/>
            <w:tcMar>
              <w:top w:w="57" w:type="dxa"/>
              <w:left w:w="108" w:type="dxa"/>
              <w:bottom w:w="57" w:type="dxa"/>
              <w:right w:w="108" w:type="dxa"/>
            </w:tcMar>
          </w:tcPr>
          <w:p w14:paraId="26E7DDDB" w14:textId="7ADC5046" w:rsidR="0069188A" w:rsidRPr="00EA6EFB" w:rsidRDefault="00A947D4" w:rsidP="00D2297E">
            <w:pPr>
              <w:tabs>
                <w:tab w:val="right" w:pos="14356"/>
              </w:tabs>
              <w:spacing w:line="240" w:lineRule="auto"/>
              <w:rPr>
                <w:i/>
                <w:sz w:val="18"/>
                <w:szCs w:val="18"/>
              </w:rPr>
            </w:pPr>
            <w:r>
              <w:rPr>
                <w:b/>
                <w:color w:val="FFFFFF" w:themeColor="background1"/>
                <w:sz w:val="18"/>
                <w:szCs w:val="18"/>
              </w:rPr>
              <w:t>P.0</w:t>
            </w:r>
            <w:r w:rsidR="005C5081">
              <w:rPr>
                <w:b/>
                <w:color w:val="FFFFFF" w:themeColor="background1"/>
                <w:sz w:val="18"/>
                <w:szCs w:val="18"/>
              </w:rPr>
              <w:t>4</w:t>
            </w:r>
            <w:r>
              <w:rPr>
                <w:b/>
                <w:color w:val="FFFFFF" w:themeColor="background1"/>
                <w:sz w:val="18"/>
                <w:szCs w:val="18"/>
              </w:rPr>
              <w:t xml:space="preserve"> </w:t>
            </w:r>
            <w:r w:rsidR="00280349">
              <w:rPr>
                <w:b/>
                <w:color w:val="FFFFFF" w:themeColor="background1"/>
                <w:sz w:val="18"/>
                <w:szCs w:val="18"/>
              </w:rPr>
              <w:t>PR</w:t>
            </w:r>
            <w:r w:rsidR="005C5081">
              <w:rPr>
                <w:b/>
                <w:color w:val="FFFFFF" w:themeColor="background1"/>
                <w:sz w:val="18"/>
                <w:szCs w:val="18"/>
              </w:rPr>
              <w:t>OGRAMMAMANAGER</w:t>
            </w:r>
            <w:r w:rsidR="00280349">
              <w:rPr>
                <w:b/>
                <w:color w:val="FFFFFF" w:themeColor="background1"/>
                <w:sz w:val="18"/>
                <w:szCs w:val="18"/>
              </w:rPr>
              <w:t xml:space="preserve"> I</w:t>
            </w:r>
            <w:r w:rsidR="0069188A" w:rsidRPr="00EA6EFB">
              <w:rPr>
                <w:b/>
                <w:color w:val="FFFFFF" w:themeColor="background1"/>
                <w:sz w:val="18"/>
                <w:szCs w:val="18"/>
              </w:rPr>
              <w:tab/>
            </w:r>
            <w:r w:rsidR="0069188A" w:rsidRPr="00EA6EFB">
              <w:rPr>
                <w:color w:val="FFFFFF" w:themeColor="background1"/>
                <w:sz w:val="18"/>
                <w:szCs w:val="18"/>
              </w:rPr>
              <w:t xml:space="preserve">Functiefamilie: </w:t>
            </w:r>
            <w:r w:rsidR="00280349">
              <w:rPr>
                <w:color w:val="FFFFFF" w:themeColor="background1"/>
                <w:sz w:val="18"/>
                <w:szCs w:val="18"/>
              </w:rPr>
              <w:t>projecten</w:t>
            </w:r>
          </w:p>
        </w:tc>
      </w:tr>
      <w:tr w:rsidR="008A4466" w:rsidRPr="00EA6EFB" w14:paraId="26E7DDE0" w14:textId="77777777" w:rsidTr="00D02596">
        <w:trPr>
          <w:trHeight w:val="932"/>
        </w:trPr>
        <w:tc>
          <w:tcPr>
            <w:tcW w:w="14572" w:type="dxa"/>
            <w:gridSpan w:val="2"/>
            <w:tcBorders>
              <w:top w:val="single" w:sz="4" w:space="0" w:color="auto"/>
              <w:bottom w:val="single" w:sz="4" w:space="0" w:color="auto"/>
            </w:tcBorders>
            <w:tcMar>
              <w:top w:w="57" w:type="dxa"/>
              <w:left w:w="108" w:type="dxa"/>
              <w:bottom w:w="57" w:type="dxa"/>
              <w:right w:w="108" w:type="dxa"/>
            </w:tcMar>
          </w:tcPr>
          <w:p w14:paraId="26E7DDDD" w14:textId="77777777" w:rsidR="008A4466" w:rsidRPr="00EA6EFB" w:rsidRDefault="008A4466" w:rsidP="00747AF9">
            <w:pPr>
              <w:spacing w:line="240" w:lineRule="auto"/>
              <w:rPr>
                <w:b/>
                <w:color w:val="F18213"/>
                <w:sz w:val="18"/>
                <w:szCs w:val="18"/>
                <w:lang w:bidi="x-none"/>
              </w:rPr>
            </w:pPr>
            <w:r w:rsidRPr="00EA6EFB">
              <w:rPr>
                <w:b/>
                <w:color w:val="F18213"/>
                <w:sz w:val="18"/>
                <w:szCs w:val="18"/>
              </w:rPr>
              <w:t>Context</w:t>
            </w:r>
          </w:p>
          <w:p w14:paraId="26E7DDDE" w14:textId="77777777" w:rsidR="00747AF9" w:rsidRPr="00557A8B" w:rsidRDefault="00747AF9" w:rsidP="00747AF9">
            <w:pPr>
              <w:spacing w:line="240" w:lineRule="auto"/>
              <w:rPr>
                <w:rFonts w:cs="Arial"/>
                <w:sz w:val="18"/>
                <w:szCs w:val="18"/>
              </w:rPr>
            </w:pPr>
            <w:r w:rsidRPr="00557A8B">
              <w:rPr>
                <w:rFonts w:cs="Arial"/>
                <w:sz w:val="18"/>
                <w:szCs w:val="18"/>
              </w:rPr>
              <w:t>De functie is gepositioneerd binnen een sportbond die zich inzet voor (plm. 500) aangesloten verenigingen en (top)sporters (plm. 150.000) op het gebied van accommodatie, opleiding, promotie van de sport en sportontwikkeling (breedtesport). Daarnaast behartigt ze de belangen van de topsport ten behoeve van uitzendingen naar EK’s, WK’s en Olympische spelen. Er zijn in totaal ongeveer 75 medewerkers werkzaam bij de bond. Daarnaast zijn veel vrijwilligers actief in commissies en werkgroepen.</w:t>
            </w:r>
          </w:p>
          <w:p w14:paraId="26E7DDDF" w14:textId="75E2BD5E" w:rsidR="0005480F" w:rsidRPr="00137567" w:rsidRDefault="0005480F" w:rsidP="003727A3">
            <w:pPr>
              <w:spacing w:line="240" w:lineRule="auto"/>
              <w:rPr>
                <w:rFonts w:cs="Arial"/>
                <w:sz w:val="18"/>
                <w:szCs w:val="18"/>
              </w:rPr>
            </w:pPr>
            <w:r w:rsidRPr="00137567">
              <w:rPr>
                <w:sz w:val="18"/>
                <w:szCs w:val="18"/>
              </w:rPr>
              <w:t xml:space="preserve">Binnen projecten wordt het onderscheid gemaakt tussen externe en interne projecten. Externe projecten betreffen projecten die niet sec/specifiek voor leden zijn. Interne projecten betreffen projecten van en voor leden. Internationale projecten worden door de manager beleid &amp; projecten geleid. Projecten zijn primair niet beleidsvormend (focus ontwikkeling) maar gericht op het realiseren van vooraf overeengekomen doelen (focus realisatie). </w:t>
            </w:r>
            <w:r w:rsidR="00B136FE" w:rsidRPr="00137567">
              <w:rPr>
                <w:sz w:val="18"/>
                <w:szCs w:val="18"/>
              </w:rPr>
              <w:t>Programma</w:t>
            </w:r>
            <w:r w:rsidR="008A67C5" w:rsidRPr="00137567">
              <w:rPr>
                <w:sz w:val="18"/>
                <w:szCs w:val="18"/>
              </w:rPr>
              <w:t>’</w:t>
            </w:r>
            <w:r w:rsidR="00B136FE" w:rsidRPr="00137567">
              <w:rPr>
                <w:sz w:val="18"/>
                <w:szCs w:val="18"/>
              </w:rPr>
              <w:t xml:space="preserve">s </w:t>
            </w:r>
            <w:r w:rsidR="008A67C5" w:rsidRPr="00137567">
              <w:rPr>
                <w:sz w:val="18"/>
                <w:szCs w:val="18"/>
              </w:rPr>
              <w:t xml:space="preserve">betreffen bundelingen van </w:t>
            </w:r>
            <w:r w:rsidR="00557A8B" w:rsidRPr="00137567">
              <w:rPr>
                <w:sz w:val="18"/>
                <w:szCs w:val="18"/>
              </w:rPr>
              <w:t xml:space="preserve">diverse </w:t>
            </w:r>
            <w:r w:rsidR="00DA5120" w:rsidRPr="00137567">
              <w:rPr>
                <w:sz w:val="18"/>
                <w:szCs w:val="18"/>
              </w:rPr>
              <w:t xml:space="preserve">(in-/externe) </w:t>
            </w:r>
            <w:r w:rsidR="008A67C5" w:rsidRPr="00137567">
              <w:rPr>
                <w:sz w:val="18"/>
                <w:szCs w:val="18"/>
              </w:rPr>
              <w:t>projecten die allen tot eenzelfde doel leiden. De programmana</w:t>
            </w:r>
            <w:r w:rsidR="00DA5120" w:rsidRPr="00137567">
              <w:rPr>
                <w:sz w:val="18"/>
                <w:szCs w:val="18"/>
              </w:rPr>
              <w:t>ger I is verantwoordelijk voor de voorbereiding</w:t>
            </w:r>
            <w:r w:rsidR="00843BC8">
              <w:rPr>
                <w:sz w:val="18"/>
                <w:szCs w:val="18"/>
              </w:rPr>
              <w:t xml:space="preserve"> </w:t>
            </w:r>
            <w:r w:rsidR="00DA5120" w:rsidRPr="00137567">
              <w:rPr>
                <w:sz w:val="18"/>
                <w:szCs w:val="18"/>
              </w:rPr>
              <w:t>en realisatie van een programma.</w:t>
            </w:r>
            <w:r w:rsidR="00330298" w:rsidRPr="00137567">
              <w:rPr>
                <w:sz w:val="18"/>
                <w:szCs w:val="18"/>
              </w:rPr>
              <w:t xml:space="preserve"> </w:t>
            </w:r>
            <w:r w:rsidR="00A94BE0" w:rsidRPr="00137567">
              <w:rPr>
                <w:sz w:val="18"/>
                <w:szCs w:val="18"/>
              </w:rPr>
              <w:t xml:space="preserve">Het programma </w:t>
            </w:r>
            <w:r w:rsidR="001A282C" w:rsidRPr="00137567">
              <w:rPr>
                <w:sz w:val="18"/>
                <w:szCs w:val="18"/>
              </w:rPr>
              <w:t>k</w:t>
            </w:r>
            <w:r w:rsidR="0097202A">
              <w:rPr>
                <w:sz w:val="18"/>
                <w:szCs w:val="18"/>
              </w:rPr>
              <w:t xml:space="preserve">enmerkt zich door </w:t>
            </w:r>
            <w:r w:rsidR="001A282C" w:rsidRPr="00137567">
              <w:rPr>
                <w:rFonts w:cs="Arial"/>
                <w:sz w:val="18"/>
                <w:szCs w:val="18"/>
              </w:rPr>
              <w:t>een relatief beperkt imago-afbreukrisico</w:t>
            </w:r>
            <w:r w:rsidR="00A4632C">
              <w:rPr>
                <w:rFonts w:cs="Arial"/>
                <w:sz w:val="18"/>
                <w:szCs w:val="18"/>
              </w:rPr>
              <w:t>;</w:t>
            </w:r>
            <w:r w:rsidR="00843BC8">
              <w:rPr>
                <w:rFonts w:cs="Arial"/>
                <w:sz w:val="18"/>
                <w:szCs w:val="18"/>
              </w:rPr>
              <w:t xml:space="preserve"> </w:t>
            </w:r>
            <w:r w:rsidR="00F455F2" w:rsidRPr="00137567">
              <w:rPr>
                <w:rFonts w:cs="Arial"/>
                <w:sz w:val="18"/>
                <w:szCs w:val="18"/>
              </w:rPr>
              <w:t>de belangen van de stakeholders verschillen niet sterk of volgen logisch vanuit de aard van het aandachtsgebied</w:t>
            </w:r>
            <w:r w:rsidR="008D15CA">
              <w:rPr>
                <w:rFonts w:cs="Arial"/>
                <w:sz w:val="18"/>
                <w:szCs w:val="18"/>
              </w:rPr>
              <w:t xml:space="preserve"> en</w:t>
            </w:r>
            <w:r w:rsidR="00F455F2" w:rsidRPr="00137567">
              <w:rPr>
                <w:rFonts w:cs="Arial"/>
                <w:sz w:val="18"/>
                <w:szCs w:val="18"/>
              </w:rPr>
              <w:t xml:space="preserve"> het programma stelt reguliere verantwoordings</w:t>
            </w:r>
            <w:r w:rsidR="00B34CE3">
              <w:rPr>
                <w:rFonts w:cs="Arial"/>
                <w:sz w:val="18"/>
                <w:szCs w:val="18"/>
              </w:rPr>
              <w:softHyphen/>
            </w:r>
            <w:r w:rsidR="00F455F2" w:rsidRPr="00137567">
              <w:rPr>
                <w:rFonts w:cs="Arial"/>
                <w:sz w:val="18"/>
                <w:szCs w:val="18"/>
              </w:rPr>
              <w:t>eisen</w:t>
            </w:r>
            <w:r w:rsidR="00502E8E">
              <w:rPr>
                <w:rFonts w:cs="Arial"/>
                <w:sz w:val="18"/>
                <w:szCs w:val="18"/>
              </w:rPr>
              <w:t>. Wel kent</w:t>
            </w:r>
            <w:r w:rsidR="00F455F2" w:rsidRPr="00137567">
              <w:rPr>
                <w:rFonts w:cs="Arial"/>
                <w:sz w:val="18"/>
                <w:szCs w:val="18"/>
              </w:rPr>
              <w:t xml:space="preserve"> het programma relatief veel onzekerheid wat tussentijdse bijstelling (i.o.m. opdrachtgever) vraagt.</w:t>
            </w:r>
            <w:r w:rsidR="00272FB7">
              <w:rPr>
                <w:rFonts w:cs="Arial"/>
                <w:bCs/>
                <w:color w:val="000000" w:themeColor="text1"/>
                <w:sz w:val="18"/>
                <w:szCs w:val="18"/>
              </w:rPr>
              <w:t xml:space="preserve"> Hierbij is er </w:t>
            </w:r>
            <w:r w:rsidR="00272FB7" w:rsidRPr="00257057">
              <w:rPr>
                <w:rFonts w:cs="Arial"/>
                <w:sz w:val="18"/>
                <w:szCs w:val="18"/>
              </w:rPr>
              <w:t>wat betreft doelstelling, stakeholders etc</w:t>
            </w:r>
            <w:r w:rsidR="00272FB7">
              <w:rPr>
                <w:rFonts w:cs="Arial"/>
                <w:sz w:val="18"/>
                <w:szCs w:val="18"/>
              </w:rPr>
              <w:t xml:space="preserve">. regelmatig sprake van een (voor de organisatie) </w:t>
            </w:r>
            <w:r w:rsidR="00272FB7" w:rsidRPr="00257057">
              <w:rPr>
                <w:rFonts w:cs="Arial"/>
                <w:sz w:val="18"/>
                <w:szCs w:val="18"/>
              </w:rPr>
              <w:t>relatief nieuw</w:t>
            </w:r>
            <w:r w:rsidR="00272FB7">
              <w:rPr>
                <w:rFonts w:cs="Arial"/>
                <w:sz w:val="18"/>
                <w:szCs w:val="18"/>
              </w:rPr>
              <w:t xml:space="preserve"> programma.</w:t>
            </w:r>
          </w:p>
        </w:tc>
      </w:tr>
      <w:tr w:rsidR="00BA56DD" w:rsidRPr="00EA6EFB" w14:paraId="26E7DDE3" w14:textId="77777777" w:rsidTr="00D02596">
        <w:trPr>
          <w:trHeight w:val="426"/>
        </w:trPr>
        <w:tc>
          <w:tcPr>
            <w:tcW w:w="14572" w:type="dxa"/>
            <w:gridSpan w:val="2"/>
            <w:tcBorders>
              <w:top w:val="single" w:sz="4" w:space="0" w:color="auto"/>
              <w:bottom w:val="single" w:sz="4" w:space="0" w:color="auto"/>
            </w:tcBorders>
            <w:tcMar>
              <w:top w:w="57" w:type="dxa"/>
              <w:left w:w="108" w:type="dxa"/>
              <w:bottom w:w="57" w:type="dxa"/>
              <w:right w:w="108" w:type="dxa"/>
            </w:tcMar>
          </w:tcPr>
          <w:p w14:paraId="26E7DDE1" w14:textId="77777777" w:rsidR="00BA56DD" w:rsidRPr="00EA6EFB" w:rsidRDefault="008A4466" w:rsidP="00A51BFC">
            <w:pPr>
              <w:spacing w:line="240" w:lineRule="auto"/>
              <w:rPr>
                <w:b/>
                <w:color w:val="F18213"/>
                <w:sz w:val="18"/>
                <w:szCs w:val="18"/>
              </w:rPr>
            </w:pPr>
            <w:r w:rsidRPr="00EA6EFB">
              <w:rPr>
                <w:b/>
                <w:color w:val="F18213"/>
                <w:sz w:val="18"/>
                <w:szCs w:val="18"/>
              </w:rPr>
              <w:t>Doel</w:t>
            </w:r>
          </w:p>
          <w:p w14:paraId="26E7DDE2" w14:textId="73A9A3A5" w:rsidR="007E18CB" w:rsidRPr="00EA6EFB" w:rsidRDefault="003F6334" w:rsidP="00A51BFC">
            <w:pPr>
              <w:spacing w:line="240" w:lineRule="auto"/>
              <w:rPr>
                <w:sz w:val="18"/>
                <w:szCs w:val="18"/>
              </w:rPr>
            </w:pPr>
            <w:r w:rsidRPr="00EA6EFB">
              <w:rPr>
                <w:color w:val="000000" w:themeColor="text1"/>
                <w:sz w:val="18"/>
                <w:szCs w:val="18"/>
              </w:rPr>
              <w:t xml:space="preserve">Een </w:t>
            </w:r>
            <w:r w:rsidR="0005480F">
              <w:rPr>
                <w:color w:val="000000" w:themeColor="text1"/>
                <w:sz w:val="18"/>
                <w:szCs w:val="18"/>
              </w:rPr>
              <w:t xml:space="preserve">tijdige </w:t>
            </w:r>
            <w:r w:rsidR="003E01FA">
              <w:rPr>
                <w:color w:val="000000" w:themeColor="text1"/>
                <w:sz w:val="18"/>
                <w:szCs w:val="18"/>
              </w:rPr>
              <w:t xml:space="preserve">voorbereiding en </w:t>
            </w:r>
            <w:r w:rsidR="0005480F">
              <w:rPr>
                <w:color w:val="000000" w:themeColor="text1"/>
                <w:sz w:val="18"/>
                <w:szCs w:val="18"/>
              </w:rPr>
              <w:t xml:space="preserve">realisatie van het </w:t>
            </w:r>
            <w:r w:rsidR="00277919">
              <w:rPr>
                <w:color w:val="000000" w:themeColor="text1"/>
                <w:sz w:val="18"/>
                <w:szCs w:val="18"/>
              </w:rPr>
              <w:t xml:space="preserve">programma </w:t>
            </w:r>
            <w:r w:rsidR="005849E3">
              <w:rPr>
                <w:color w:val="000000" w:themeColor="text1"/>
                <w:sz w:val="18"/>
                <w:szCs w:val="18"/>
              </w:rPr>
              <w:t>conform</w:t>
            </w:r>
            <w:r w:rsidR="0005480F">
              <w:rPr>
                <w:color w:val="000000" w:themeColor="text1"/>
                <w:sz w:val="18"/>
                <w:szCs w:val="18"/>
              </w:rPr>
              <w:t xml:space="preserve"> de financiële en inhoudelijke </w:t>
            </w:r>
            <w:r w:rsidR="00CB5467">
              <w:rPr>
                <w:color w:val="000000" w:themeColor="text1"/>
                <w:sz w:val="18"/>
                <w:szCs w:val="18"/>
              </w:rPr>
              <w:t xml:space="preserve">(gegeven) </w:t>
            </w:r>
            <w:r w:rsidR="0005480F">
              <w:rPr>
                <w:color w:val="000000" w:themeColor="text1"/>
                <w:sz w:val="18"/>
                <w:szCs w:val="18"/>
              </w:rPr>
              <w:t xml:space="preserve">doelstellingen. </w:t>
            </w:r>
          </w:p>
        </w:tc>
      </w:tr>
      <w:tr w:rsidR="00952F07" w:rsidRPr="00EA6EFB" w14:paraId="26E7DDE7" w14:textId="77777777" w:rsidTr="00D02596">
        <w:trPr>
          <w:trHeight w:val="608"/>
        </w:trPr>
        <w:tc>
          <w:tcPr>
            <w:tcW w:w="14572" w:type="dxa"/>
            <w:gridSpan w:val="2"/>
            <w:tcBorders>
              <w:top w:val="single" w:sz="4" w:space="0" w:color="auto"/>
              <w:bottom w:val="single" w:sz="4" w:space="0" w:color="auto"/>
            </w:tcBorders>
            <w:tcMar>
              <w:top w:w="57" w:type="dxa"/>
              <w:left w:w="108" w:type="dxa"/>
              <w:bottom w:w="57" w:type="dxa"/>
              <w:right w:w="108" w:type="dxa"/>
            </w:tcMar>
          </w:tcPr>
          <w:p w14:paraId="26E7DDE4" w14:textId="77777777" w:rsidR="00952F07" w:rsidRPr="00EA6EFB" w:rsidRDefault="00952F07" w:rsidP="00A51BFC">
            <w:pPr>
              <w:spacing w:line="240" w:lineRule="auto"/>
              <w:rPr>
                <w:b/>
                <w:color w:val="F18213"/>
                <w:sz w:val="18"/>
                <w:szCs w:val="18"/>
              </w:rPr>
            </w:pPr>
            <w:r w:rsidRPr="00EA6EFB">
              <w:rPr>
                <w:b/>
                <w:color w:val="F18213"/>
                <w:sz w:val="18"/>
                <w:szCs w:val="18"/>
              </w:rPr>
              <w:t>Rapportagestructuur</w:t>
            </w:r>
          </w:p>
          <w:p w14:paraId="26E7DDE5" w14:textId="77777777" w:rsidR="00952F07" w:rsidRPr="00EA6EFB" w:rsidRDefault="00495514" w:rsidP="00A51BFC">
            <w:pPr>
              <w:tabs>
                <w:tab w:val="left" w:pos="2127"/>
              </w:tabs>
              <w:spacing w:line="240" w:lineRule="auto"/>
              <w:ind w:left="2410" w:hanging="2410"/>
              <w:rPr>
                <w:color w:val="000000" w:themeColor="text1"/>
                <w:sz w:val="18"/>
                <w:szCs w:val="18"/>
                <w:lang w:bidi="x-none"/>
              </w:rPr>
            </w:pPr>
            <w:r w:rsidRPr="00EA6EFB">
              <w:rPr>
                <w:color w:val="000000" w:themeColor="text1"/>
                <w:sz w:val="18"/>
                <w:szCs w:val="18"/>
                <w:lang w:bidi="x-none"/>
              </w:rPr>
              <w:t>Direct leidinggevende</w:t>
            </w:r>
            <w:r w:rsidR="00D47F61" w:rsidRPr="00EA6EFB">
              <w:rPr>
                <w:color w:val="000000" w:themeColor="text1"/>
                <w:sz w:val="18"/>
                <w:szCs w:val="18"/>
                <w:lang w:bidi="x-none"/>
              </w:rPr>
              <w:t>:</w:t>
            </w:r>
            <w:r w:rsidR="00D47F61" w:rsidRPr="00EA6EFB">
              <w:rPr>
                <w:color w:val="000000" w:themeColor="text1"/>
                <w:sz w:val="18"/>
                <w:szCs w:val="18"/>
                <w:lang w:bidi="x-none"/>
              </w:rPr>
              <w:tab/>
            </w:r>
            <w:r w:rsidR="00AE5CD8">
              <w:rPr>
                <w:color w:val="000000" w:themeColor="text1"/>
                <w:sz w:val="18"/>
                <w:szCs w:val="18"/>
                <w:lang w:bidi="x-none"/>
              </w:rPr>
              <w:t>manager</w:t>
            </w:r>
            <w:r w:rsidR="0005480F">
              <w:rPr>
                <w:color w:val="000000" w:themeColor="text1"/>
                <w:sz w:val="18"/>
                <w:szCs w:val="18"/>
                <w:lang w:bidi="x-none"/>
              </w:rPr>
              <w:t xml:space="preserve"> beleid en projecten</w:t>
            </w:r>
          </w:p>
          <w:p w14:paraId="26E7DDE6" w14:textId="410B8FC9" w:rsidR="00D47F61" w:rsidRPr="00EA6EFB" w:rsidRDefault="00D47F61" w:rsidP="00A51BFC">
            <w:pPr>
              <w:tabs>
                <w:tab w:val="left" w:pos="2127"/>
              </w:tabs>
              <w:spacing w:line="240" w:lineRule="auto"/>
              <w:ind w:left="2410" w:hanging="2410"/>
              <w:rPr>
                <w:color w:val="B80526"/>
                <w:sz w:val="18"/>
                <w:szCs w:val="18"/>
                <w:lang w:bidi="x-none"/>
              </w:rPr>
            </w:pPr>
            <w:r w:rsidRPr="00EA6EFB">
              <w:rPr>
                <w:color w:val="000000" w:themeColor="text1"/>
                <w:sz w:val="18"/>
                <w:szCs w:val="18"/>
                <w:lang w:bidi="x-none"/>
              </w:rPr>
              <w:t>Geeft leiding aan:</w:t>
            </w:r>
            <w:r w:rsidRPr="00EA6EFB">
              <w:rPr>
                <w:color w:val="000000" w:themeColor="text1"/>
                <w:sz w:val="18"/>
                <w:szCs w:val="18"/>
                <w:lang w:bidi="x-none"/>
              </w:rPr>
              <w:tab/>
            </w:r>
            <w:r w:rsidR="006A2225">
              <w:rPr>
                <w:color w:val="000000" w:themeColor="text1"/>
                <w:sz w:val="18"/>
                <w:szCs w:val="18"/>
                <w:lang w:bidi="x-none"/>
              </w:rPr>
              <w:t>g</w:t>
            </w:r>
            <w:r w:rsidR="00177BA4">
              <w:rPr>
                <w:color w:val="000000" w:themeColor="text1"/>
                <w:sz w:val="18"/>
                <w:szCs w:val="18"/>
                <w:lang w:bidi="x-none"/>
              </w:rPr>
              <w:t>eeft functioneel leiding aan projectmedewerkers</w:t>
            </w:r>
          </w:p>
        </w:tc>
      </w:tr>
      <w:tr w:rsidR="00860F94" w:rsidRPr="00EA6EFB" w14:paraId="26E7DDEA" w14:textId="77777777" w:rsidTr="00D02596">
        <w:trPr>
          <w:trHeight w:hRule="exact" w:val="284"/>
        </w:trPr>
        <w:tc>
          <w:tcPr>
            <w:tcW w:w="10071" w:type="dxa"/>
            <w:tcBorders>
              <w:top w:val="single" w:sz="4" w:space="0" w:color="auto"/>
              <w:bottom w:val="single" w:sz="4" w:space="0" w:color="auto"/>
            </w:tcBorders>
            <w:shd w:val="clear" w:color="auto" w:fill="D9D9D9"/>
            <w:tcMar>
              <w:top w:w="57" w:type="dxa"/>
              <w:left w:w="108" w:type="dxa"/>
              <w:bottom w:w="57" w:type="dxa"/>
              <w:right w:w="108" w:type="dxa"/>
            </w:tcMar>
          </w:tcPr>
          <w:p w14:paraId="26E7DDE8" w14:textId="77777777" w:rsidR="00051C43" w:rsidRPr="001133FD" w:rsidRDefault="00051C43" w:rsidP="00A16B2F">
            <w:pPr>
              <w:spacing w:line="240" w:lineRule="auto"/>
              <w:ind w:left="113" w:hanging="113"/>
              <w:rPr>
                <w:b/>
                <w:color w:val="F18213"/>
                <w:sz w:val="18"/>
                <w:szCs w:val="18"/>
                <w:lang w:bidi="x-none"/>
              </w:rPr>
            </w:pPr>
            <w:r w:rsidRPr="001133FD">
              <w:rPr>
                <w:b/>
                <w:color w:val="F18213"/>
                <w:sz w:val="18"/>
                <w:szCs w:val="18"/>
                <w:lang w:bidi="x-none"/>
              </w:rPr>
              <w:t>Resultaat</w:t>
            </w:r>
            <w:r w:rsidR="00346AD4" w:rsidRPr="001133FD">
              <w:rPr>
                <w:b/>
                <w:color w:val="F18213"/>
                <w:sz w:val="18"/>
                <w:szCs w:val="18"/>
                <w:lang w:bidi="x-none"/>
              </w:rPr>
              <w:t>/bijdrage</w:t>
            </w:r>
          </w:p>
        </w:tc>
        <w:tc>
          <w:tcPr>
            <w:tcW w:w="4501" w:type="dxa"/>
            <w:tcBorders>
              <w:top w:val="single" w:sz="4" w:space="0" w:color="auto"/>
              <w:bottom w:val="single" w:sz="4" w:space="0" w:color="auto"/>
            </w:tcBorders>
            <w:shd w:val="clear" w:color="auto" w:fill="D9D9D9"/>
            <w:tcMar>
              <w:top w:w="57" w:type="dxa"/>
              <w:left w:w="108" w:type="dxa"/>
              <w:bottom w:w="57" w:type="dxa"/>
              <w:right w:w="108" w:type="dxa"/>
            </w:tcMar>
          </w:tcPr>
          <w:p w14:paraId="26E7DDE9" w14:textId="77777777" w:rsidR="00051C43" w:rsidRPr="001133FD" w:rsidRDefault="00346AD4" w:rsidP="00A16B2F">
            <w:pPr>
              <w:spacing w:line="240" w:lineRule="auto"/>
              <w:ind w:left="113" w:hanging="113"/>
              <w:rPr>
                <w:color w:val="F18213"/>
                <w:sz w:val="18"/>
                <w:szCs w:val="18"/>
                <w:lang w:bidi="x-none"/>
              </w:rPr>
            </w:pPr>
            <w:r w:rsidRPr="001133FD">
              <w:rPr>
                <w:b/>
                <w:color w:val="F18213"/>
                <w:sz w:val="18"/>
                <w:szCs w:val="18"/>
                <w:lang w:bidi="x-none"/>
              </w:rPr>
              <w:t>Resultaatindicatoren</w:t>
            </w:r>
          </w:p>
        </w:tc>
      </w:tr>
      <w:tr w:rsidR="005F2E7B" w:rsidRPr="00EA6EFB" w14:paraId="26E7DDF1" w14:textId="77777777" w:rsidTr="00D02596">
        <w:trPr>
          <w:trHeight w:val="500"/>
        </w:trPr>
        <w:tc>
          <w:tcPr>
            <w:tcW w:w="10071" w:type="dxa"/>
            <w:tcBorders>
              <w:top w:val="single" w:sz="4" w:space="0" w:color="auto"/>
              <w:bottom w:val="single" w:sz="4" w:space="0" w:color="auto"/>
            </w:tcBorders>
            <w:tcMar>
              <w:top w:w="57" w:type="dxa"/>
              <w:left w:w="108" w:type="dxa"/>
              <w:bottom w:w="57" w:type="dxa"/>
              <w:right w:w="108" w:type="dxa"/>
            </w:tcMar>
          </w:tcPr>
          <w:p w14:paraId="3A606836" w14:textId="165F8149" w:rsidR="005F2E7B" w:rsidRPr="00D36E98" w:rsidRDefault="005F2E7B" w:rsidP="008C23AF">
            <w:pPr>
              <w:pStyle w:val="Lijstalinea"/>
              <w:numPr>
                <w:ilvl w:val="0"/>
                <w:numId w:val="11"/>
              </w:numPr>
              <w:ind w:left="284" w:hanging="284"/>
              <w:rPr>
                <w:rFonts w:cs="Arial"/>
                <w:bCs/>
                <w:color w:val="000000" w:themeColor="text1"/>
                <w:sz w:val="18"/>
                <w:szCs w:val="18"/>
              </w:rPr>
            </w:pPr>
            <w:r w:rsidRPr="00D36E98">
              <w:rPr>
                <w:rFonts w:cs="Arial"/>
                <w:b/>
                <w:color w:val="000000" w:themeColor="text1"/>
                <w:sz w:val="18"/>
                <w:szCs w:val="18"/>
              </w:rPr>
              <w:t>Programmavoorbereiding</w:t>
            </w:r>
            <w:r w:rsidRPr="00D36E98">
              <w:rPr>
                <w:rFonts w:cs="Arial"/>
                <w:bCs/>
                <w:color w:val="000000" w:themeColor="text1"/>
                <w:sz w:val="18"/>
                <w:szCs w:val="18"/>
              </w:rPr>
              <w:t xml:space="preserve"> </w:t>
            </w:r>
          </w:p>
          <w:p w14:paraId="26E7DDEC" w14:textId="0F4A4311" w:rsidR="005F2E7B" w:rsidRPr="00D36E98" w:rsidRDefault="005F2E7B" w:rsidP="008C23AF">
            <w:pPr>
              <w:spacing w:line="240" w:lineRule="auto"/>
              <w:ind w:left="284"/>
              <w:contextualSpacing/>
              <w:rPr>
                <w:rFonts w:cs="Arial"/>
                <w:sz w:val="18"/>
                <w:szCs w:val="18"/>
              </w:rPr>
            </w:pPr>
            <w:r w:rsidRPr="00D36E98">
              <w:rPr>
                <w:rFonts w:cs="Arial"/>
                <w:bCs/>
                <w:color w:val="000000" w:themeColor="text1"/>
                <w:sz w:val="18"/>
                <w:szCs w:val="18"/>
              </w:rPr>
              <w:t xml:space="preserve">Op basis van de strategie en de organisatie-doelstellingen is de programma-agenda in de vorm van een </w:t>
            </w:r>
            <w:r w:rsidR="0011176D">
              <w:rPr>
                <w:rFonts w:cs="Arial"/>
                <w:bCs/>
                <w:color w:val="000000" w:themeColor="text1"/>
                <w:sz w:val="18"/>
                <w:szCs w:val="18"/>
              </w:rPr>
              <w:t xml:space="preserve">(nieuw) </w:t>
            </w:r>
            <w:r w:rsidRPr="00D36E98">
              <w:rPr>
                <w:rFonts w:cs="Arial"/>
                <w:bCs/>
                <w:color w:val="000000" w:themeColor="text1"/>
                <w:sz w:val="18"/>
                <w:szCs w:val="18"/>
              </w:rPr>
              <w:t xml:space="preserve">plan van aanpak </w:t>
            </w:r>
            <w:r w:rsidRPr="00D36E98">
              <w:rPr>
                <w:rFonts w:cs="Arial"/>
                <w:sz w:val="18"/>
                <w:szCs w:val="18"/>
              </w:rPr>
              <w:t>in termen van output/resultaat, tijdsplanning, werkwijze en borging, budget</w:t>
            </w:r>
            <w:r w:rsidR="00272FB7">
              <w:rPr>
                <w:rFonts w:cs="Arial"/>
                <w:sz w:val="18"/>
                <w:szCs w:val="18"/>
              </w:rPr>
              <w:t xml:space="preserve"> (incl. zoeken/aanwenden aanvullende financiering)</w:t>
            </w:r>
            <w:r w:rsidRPr="00D36E98">
              <w:rPr>
                <w:rFonts w:cs="Arial"/>
                <w:sz w:val="18"/>
                <w:szCs w:val="18"/>
              </w:rPr>
              <w:t xml:space="preserve">, kpi’s e.d. </w:t>
            </w:r>
            <w:r w:rsidRPr="00D36E98">
              <w:rPr>
                <w:rFonts w:cs="Arial"/>
                <w:bCs/>
                <w:color w:val="000000" w:themeColor="text1"/>
                <w:sz w:val="18"/>
                <w:szCs w:val="18"/>
              </w:rPr>
              <w:t>bepaald en opgesteld, prioriteiten binnen de aanpak zijn vastgesteld en activiteiten zijn in lijn gebracht met andere projecten binnen en buiten de organisatie.</w:t>
            </w:r>
            <w:r w:rsidR="0061055C">
              <w:rPr>
                <w:rFonts w:cs="Arial"/>
                <w:bCs/>
                <w:color w:val="000000" w:themeColor="text1"/>
                <w:sz w:val="18"/>
                <w:szCs w:val="18"/>
              </w:rPr>
              <w:t xml:space="preserve"> </w:t>
            </w:r>
          </w:p>
        </w:tc>
        <w:tc>
          <w:tcPr>
            <w:tcW w:w="4501" w:type="dxa"/>
            <w:tcBorders>
              <w:top w:val="single" w:sz="4" w:space="0" w:color="auto"/>
              <w:bottom w:val="single" w:sz="4" w:space="0" w:color="auto"/>
            </w:tcBorders>
            <w:tcMar>
              <w:top w:w="57" w:type="dxa"/>
              <w:left w:w="108" w:type="dxa"/>
              <w:bottom w:w="57" w:type="dxa"/>
              <w:right w:w="108" w:type="dxa"/>
            </w:tcMar>
          </w:tcPr>
          <w:p w14:paraId="486C8D1F" w14:textId="77777777" w:rsidR="005F2E7B" w:rsidRPr="00D02596" w:rsidRDefault="005F2E7B" w:rsidP="00D02596">
            <w:pPr>
              <w:numPr>
                <w:ilvl w:val="0"/>
                <w:numId w:val="12"/>
              </w:numPr>
              <w:spacing w:line="240" w:lineRule="auto"/>
              <w:ind w:left="284" w:hanging="284"/>
              <w:rPr>
                <w:sz w:val="18"/>
                <w:szCs w:val="18"/>
              </w:rPr>
            </w:pPr>
            <w:r w:rsidRPr="00D02596">
              <w:rPr>
                <w:sz w:val="18"/>
                <w:szCs w:val="18"/>
              </w:rPr>
              <w:t>in aansluiting op strategie en organisatiedoelstellingen;</w:t>
            </w:r>
          </w:p>
          <w:p w14:paraId="076EBB2D" w14:textId="33DA6CD3" w:rsidR="005F2E7B" w:rsidRPr="00D02596" w:rsidRDefault="005F2E7B" w:rsidP="00D02596">
            <w:pPr>
              <w:numPr>
                <w:ilvl w:val="0"/>
                <w:numId w:val="12"/>
              </w:numPr>
              <w:spacing w:line="240" w:lineRule="auto"/>
              <w:ind w:left="284" w:hanging="284"/>
              <w:rPr>
                <w:sz w:val="18"/>
                <w:szCs w:val="18"/>
              </w:rPr>
            </w:pPr>
            <w:r w:rsidRPr="00D02596">
              <w:rPr>
                <w:sz w:val="18"/>
                <w:szCs w:val="18"/>
              </w:rPr>
              <w:t>effectiviteit van prioritering</w:t>
            </w:r>
            <w:r w:rsidR="00572567" w:rsidRPr="00D02596">
              <w:rPr>
                <w:sz w:val="18"/>
                <w:szCs w:val="18"/>
              </w:rPr>
              <w:t>;</w:t>
            </w:r>
          </w:p>
          <w:p w14:paraId="3E0F69D1" w14:textId="4397DBDC" w:rsidR="005F2E7B" w:rsidRPr="00D02596" w:rsidRDefault="005F2E7B" w:rsidP="00D02596">
            <w:pPr>
              <w:numPr>
                <w:ilvl w:val="0"/>
                <w:numId w:val="12"/>
              </w:numPr>
              <w:spacing w:line="240" w:lineRule="auto"/>
              <w:ind w:left="284" w:hanging="284"/>
              <w:rPr>
                <w:sz w:val="18"/>
                <w:szCs w:val="18"/>
              </w:rPr>
            </w:pPr>
            <w:r w:rsidRPr="00D02596">
              <w:rPr>
                <w:sz w:val="18"/>
                <w:szCs w:val="18"/>
              </w:rPr>
              <w:t>realiteit, haalbaarheid van plan van aanpak</w:t>
            </w:r>
            <w:r w:rsidR="00572567" w:rsidRPr="00D02596">
              <w:rPr>
                <w:sz w:val="18"/>
                <w:szCs w:val="18"/>
              </w:rPr>
              <w:t>;</w:t>
            </w:r>
          </w:p>
          <w:p w14:paraId="26E7DDF0" w14:textId="49685BD5" w:rsidR="005F2E7B" w:rsidRPr="00D36E98" w:rsidRDefault="005F2E7B" w:rsidP="00D02596">
            <w:pPr>
              <w:numPr>
                <w:ilvl w:val="0"/>
                <w:numId w:val="12"/>
              </w:numPr>
              <w:spacing w:line="240" w:lineRule="auto"/>
              <w:ind w:left="284" w:hanging="284"/>
              <w:rPr>
                <w:rFonts w:cs="Arial"/>
                <w:sz w:val="18"/>
                <w:szCs w:val="18"/>
              </w:rPr>
            </w:pPr>
            <w:r w:rsidRPr="00D02596">
              <w:rPr>
                <w:sz w:val="18"/>
                <w:szCs w:val="18"/>
              </w:rPr>
              <w:t>acceptatie, draagvlak van plannen</w:t>
            </w:r>
            <w:r w:rsidR="00572567" w:rsidRPr="00D02596">
              <w:rPr>
                <w:sz w:val="18"/>
                <w:szCs w:val="18"/>
              </w:rPr>
              <w:t>.</w:t>
            </w:r>
          </w:p>
        </w:tc>
      </w:tr>
      <w:tr w:rsidR="005F041C" w:rsidRPr="00EA6EFB" w14:paraId="5FADD3BD" w14:textId="77777777" w:rsidTr="00D02596">
        <w:trPr>
          <w:trHeight w:val="500"/>
        </w:trPr>
        <w:tc>
          <w:tcPr>
            <w:tcW w:w="10071" w:type="dxa"/>
            <w:tcBorders>
              <w:top w:val="single" w:sz="4" w:space="0" w:color="auto"/>
              <w:bottom w:val="single" w:sz="4" w:space="0" w:color="auto"/>
            </w:tcBorders>
            <w:tcMar>
              <w:top w:w="57" w:type="dxa"/>
              <w:left w:w="108" w:type="dxa"/>
              <w:bottom w:w="57" w:type="dxa"/>
              <w:right w:w="108" w:type="dxa"/>
            </w:tcMar>
          </w:tcPr>
          <w:p w14:paraId="7BC7CFDE" w14:textId="66FB7037" w:rsidR="005F041C" w:rsidRPr="008C23AF" w:rsidRDefault="005F041C" w:rsidP="008C23AF">
            <w:pPr>
              <w:pStyle w:val="Lijstalinea"/>
              <w:numPr>
                <w:ilvl w:val="0"/>
                <w:numId w:val="11"/>
              </w:numPr>
              <w:ind w:left="284" w:hanging="284"/>
              <w:rPr>
                <w:rFonts w:cs="Arial"/>
                <w:b/>
                <w:color w:val="000000" w:themeColor="text1"/>
                <w:sz w:val="18"/>
                <w:szCs w:val="18"/>
              </w:rPr>
            </w:pPr>
            <w:r w:rsidRPr="008C23AF">
              <w:rPr>
                <w:rFonts w:cs="Arial"/>
                <w:b/>
                <w:color w:val="000000" w:themeColor="text1"/>
                <w:sz w:val="18"/>
                <w:szCs w:val="18"/>
              </w:rPr>
              <w:t>Aansturing projectteams</w:t>
            </w:r>
          </w:p>
          <w:p w14:paraId="194CB717" w14:textId="0406FBAD" w:rsidR="005F041C" w:rsidRPr="00D36E98" w:rsidRDefault="005F041C" w:rsidP="008C23AF">
            <w:pPr>
              <w:spacing w:line="240" w:lineRule="auto"/>
              <w:ind w:left="284"/>
              <w:contextualSpacing/>
              <w:rPr>
                <w:rFonts w:cs="Arial"/>
                <w:b/>
                <w:color w:val="000000" w:themeColor="text1"/>
                <w:sz w:val="18"/>
                <w:szCs w:val="18"/>
              </w:rPr>
            </w:pPr>
            <w:r w:rsidRPr="008C23AF">
              <w:rPr>
                <w:rFonts w:cs="Arial"/>
                <w:bCs/>
                <w:color w:val="000000" w:themeColor="text1"/>
                <w:sz w:val="18"/>
                <w:szCs w:val="18"/>
              </w:rPr>
              <w:t>Voor programma’s en de daarbinnen voorkomende projecten zijn projectteams</w:t>
            </w:r>
            <w:r w:rsidR="00B443E3">
              <w:rPr>
                <w:rFonts w:cs="Arial"/>
                <w:bCs/>
                <w:color w:val="000000" w:themeColor="text1"/>
                <w:sz w:val="18"/>
                <w:szCs w:val="18"/>
              </w:rPr>
              <w:t xml:space="preserve"> (</w:t>
            </w:r>
            <w:r w:rsidR="00DC2739">
              <w:rPr>
                <w:rFonts w:cs="Arial"/>
                <w:bCs/>
                <w:color w:val="000000" w:themeColor="text1"/>
                <w:sz w:val="18"/>
                <w:szCs w:val="18"/>
              </w:rPr>
              <w:t xml:space="preserve">bestaande uit </w:t>
            </w:r>
            <w:r w:rsidR="00B443E3">
              <w:rPr>
                <w:rFonts w:cs="Arial"/>
                <w:sz w:val="18"/>
                <w:szCs w:val="18"/>
              </w:rPr>
              <w:t>tien</w:t>
            </w:r>
            <w:r w:rsidR="00B443E3" w:rsidRPr="00257057">
              <w:rPr>
                <w:rFonts w:cs="Arial"/>
                <w:sz w:val="18"/>
                <w:szCs w:val="18"/>
              </w:rPr>
              <w:t xml:space="preserve"> of meer (in-/externe) projectmedewerkers die variëren in aantal en rol/expertise gedurende de doorlooptijd van het project</w:t>
            </w:r>
            <w:r w:rsidR="00B443E3">
              <w:rPr>
                <w:rFonts w:cs="Arial"/>
                <w:sz w:val="18"/>
                <w:szCs w:val="18"/>
              </w:rPr>
              <w:t>)</w:t>
            </w:r>
            <w:r w:rsidRPr="008C23AF">
              <w:rPr>
                <w:rFonts w:cs="Arial"/>
                <w:bCs/>
                <w:color w:val="000000" w:themeColor="text1"/>
                <w:sz w:val="18"/>
                <w:szCs w:val="18"/>
              </w:rPr>
              <w:t xml:space="preserve"> samengesteld met de juiste expertise en </w:t>
            </w:r>
            <w:r w:rsidR="00327B1A" w:rsidRPr="008C23AF">
              <w:rPr>
                <w:rFonts w:cs="Arial"/>
                <w:bCs/>
                <w:color w:val="000000" w:themeColor="text1"/>
                <w:sz w:val="18"/>
                <w:szCs w:val="18"/>
              </w:rPr>
              <w:t>participatie van stakeholders</w:t>
            </w:r>
            <w:r w:rsidRPr="008C23AF">
              <w:rPr>
                <w:rFonts w:cs="Arial"/>
                <w:bCs/>
                <w:color w:val="000000" w:themeColor="text1"/>
                <w:sz w:val="18"/>
                <w:szCs w:val="18"/>
              </w:rPr>
              <w:t xml:space="preserve"> zodat beoogd resultaat wordt bereikt met een optimale inzet en bijdragen van teamleden van het projectteam</w:t>
            </w:r>
            <w:r w:rsidR="005F14E9">
              <w:rPr>
                <w:rFonts w:cs="Arial"/>
                <w:bCs/>
                <w:color w:val="000000" w:themeColor="text1"/>
                <w:sz w:val="18"/>
                <w:szCs w:val="18"/>
              </w:rPr>
              <w:t xml:space="preserve"> </w:t>
            </w:r>
          </w:p>
        </w:tc>
        <w:tc>
          <w:tcPr>
            <w:tcW w:w="4501" w:type="dxa"/>
            <w:tcBorders>
              <w:top w:val="single" w:sz="4" w:space="0" w:color="auto"/>
              <w:bottom w:val="single" w:sz="4" w:space="0" w:color="auto"/>
            </w:tcBorders>
            <w:tcMar>
              <w:top w:w="57" w:type="dxa"/>
              <w:left w:w="108" w:type="dxa"/>
              <w:bottom w:w="57" w:type="dxa"/>
              <w:right w:w="108" w:type="dxa"/>
            </w:tcMar>
          </w:tcPr>
          <w:p w14:paraId="7C5308C0" w14:textId="510497D4" w:rsidR="005F041C" w:rsidRPr="00D36E98" w:rsidRDefault="005F041C" w:rsidP="00D02596">
            <w:pPr>
              <w:numPr>
                <w:ilvl w:val="0"/>
                <w:numId w:val="13"/>
              </w:numPr>
              <w:spacing w:line="240" w:lineRule="auto"/>
              <w:ind w:left="284" w:hanging="284"/>
              <w:rPr>
                <w:sz w:val="18"/>
                <w:szCs w:val="18"/>
              </w:rPr>
            </w:pPr>
            <w:r w:rsidRPr="00D36E98">
              <w:rPr>
                <w:sz w:val="18"/>
                <w:szCs w:val="18"/>
              </w:rPr>
              <w:t xml:space="preserve">juiste samenstelling </w:t>
            </w:r>
            <w:r w:rsidR="00D36E98" w:rsidRPr="00D36E98">
              <w:rPr>
                <w:sz w:val="18"/>
                <w:szCs w:val="18"/>
              </w:rPr>
              <w:t>programma-/</w:t>
            </w:r>
            <w:r w:rsidRPr="00D36E98">
              <w:rPr>
                <w:sz w:val="18"/>
                <w:szCs w:val="18"/>
              </w:rPr>
              <w:t>projectteams;</w:t>
            </w:r>
          </w:p>
          <w:p w14:paraId="1883B320" w14:textId="3841791B" w:rsidR="005F041C" w:rsidRPr="00D36E98" w:rsidRDefault="005F041C" w:rsidP="00D02596">
            <w:pPr>
              <w:numPr>
                <w:ilvl w:val="0"/>
                <w:numId w:val="13"/>
              </w:numPr>
              <w:spacing w:line="240" w:lineRule="auto"/>
              <w:ind w:left="284" w:hanging="284"/>
              <w:rPr>
                <w:sz w:val="18"/>
                <w:szCs w:val="18"/>
              </w:rPr>
            </w:pPr>
            <w:r w:rsidRPr="00D36E98">
              <w:rPr>
                <w:sz w:val="18"/>
                <w:szCs w:val="18"/>
              </w:rPr>
              <w:t>functioneren/samenwerking projectteam</w:t>
            </w:r>
            <w:r w:rsidR="00D36E98" w:rsidRPr="00D36E98">
              <w:rPr>
                <w:sz w:val="18"/>
                <w:szCs w:val="18"/>
              </w:rPr>
              <w:t>s</w:t>
            </w:r>
            <w:r w:rsidRPr="00D36E98">
              <w:rPr>
                <w:sz w:val="18"/>
                <w:szCs w:val="18"/>
              </w:rPr>
              <w:t>;</w:t>
            </w:r>
          </w:p>
          <w:p w14:paraId="2F18A63A" w14:textId="0F7B9264" w:rsidR="005F041C" w:rsidRPr="00D36E98" w:rsidRDefault="005F041C" w:rsidP="00D02596">
            <w:pPr>
              <w:numPr>
                <w:ilvl w:val="0"/>
                <w:numId w:val="13"/>
              </w:numPr>
              <w:spacing w:line="240" w:lineRule="auto"/>
              <w:ind w:left="284" w:hanging="284"/>
              <w:rPr>
                <w:rFonts w:cs="Arial"/>
                <w:sz w:val="18"/>
                <w:szCs w:val="18"/>
              </w:rPr>
            </w:pPr>
            <w:r w:rsidRPr="00D02596">
              <w:rPr>
                <w:sz w:val="18"/>
                <w:szCs w:val="18"/>
              </w:rPr>
              <w:t>bijdragen/prestatie individuele leden conform afspraken/verwachtingen.</w:t>
            </w:r>
          </w:p>
        </w:tc>
      </w:tr>
      <w:tr w:rsidR="005F041C" w:rsidRPr="00EA6EFB" w14:paraId="26E7DDF8" w14:textId="77777777" w:rsidTr="00D02596">
        <w:trPr>
          <w:trHeight w:val="538"/>
        </w:trPr>
        <w:tc>
          <w:tcPr>
            <w:tcW w:w="10071" w:type="dxa"/>
            <w:tcBorders>
              <w:top w:val="single" w:sz="4" w:space="0" w:color="auto"/>
              <w:bottom w:val="single" w:sz="4" w:space="0" w:color="auto"/>
            </w:tcBorders>
            <w:tcMar>
              <w:top w:w="57" w:type="dxa"/>
              <w:left w:w="108" w:type="dxa"/>
              <w:bottom w:w="57" w:type="dxa"/>
              <w:right w:w="108" w:type="dxa"/>
            </w:tcMar>
          </w:tcPr>
          <w:p w14:paraId="26E7DDF2" w14:textId="2D0E9952" w:rsidR="005F041C" w:rsidRPr="006F4DCF" w:rsidRDefault="005F041C" w:rsidP="008C23AF">
            <w:pPr>
              <w:pStyle w:val="Lijstalinea"/>
              <w:numPr>
                <w:ilvl w:val="0"/>
                <w:numId w:val="11"/>
              </w:numPr>
              <w:ind w:left="284" w:hanging="284"/>
              <w:rPr>
                <w:rFonts w:cs="Arial"/>
                <w:b/>
                <w:color w:val="000000" w:themeColor="text1"/>
                <w:sz w:val="18"/>
                <w:szCs w:val="18"/>
              </w:rPr>
            </w:pPr>
            <w:r w:rsidRPr="006F4DCF">
              <w:rPr>
                <w:rFonts w:cs="Arial"/>
                <w:b/>
                <w:color w:val="000000" w:themeColor="text1"/>
                <w:sz w:val="18"/>
                <w:szCs w:val="18"/>
              </w:rPr>
              <w:t>P</w:t>
            </w:r>
            <w:r w:rsidR="005F2E7B" w:rsidRPr="006F4DCF">
              <w:rPr>
                <w:rFonts w:cs="Arial"/>
                <w:b/>
                <w:color w:val="000000" w:themeColor="text1"/>
                <w:sz w:val="18"/>
                <w:szCs w:val="18"/>
              </w:rPr>
              <w:t>rogramma</w:t>
            </w:r>
            <w:r w:rsidRPr="006F4DCF">
              <w:rPr>
                <w:rFonts w:cs="Arial"/>
                <w:b/>
                <w:color w:val="000000" w:themeColor="text1"/>
                <w:sz w:val="18"/>
                <w:szCs w:val="18"/>
              </w:rPr>
              <w:t>realisatie</w:t>
            </w:r>
          </w:p>
          <w:p w14:paraId="26E7DDF3" w14:textId="3D313825" w:rsidR="005F041C" w:rsidRPr="00D36E98" w:rsidRDefault="005F2E7B" w:rsidP="008C23AF">
            <w:pPr>
              <w:spacing w:line="240" w:lineRule="auto"/>
              <w:ind w:left="284"/>
              <w:contextualSpacing/>
              <w:rPr>
                <w:rFonts w:cs="Arial"/>
                <w:sz w:val="18"/>
                <w:szCs w:val="18"/>
              </w:rPr>
            </w:pPr>
            <w:r w:rsidRPr="008C23AF">
              <w:rPr>
                <w:rFonts w:cs="Arial"/>
                <w:bCs/>
                <w:color w:val="000000" w:themeColor="text1"/>
                <w:sz w:val="18"/>
                <w:szCs w:val="18"/>
              </w:rPr>
              <w:t>Programma’s</w:t>
            </w:r>
            <w:r w:rsidR="005F041C" w:rsidRPr="008C23AF">
              <w:rPr>
                <w:rFonts w:cs="Arial"/>
                <w:bCs/>
                <w:color w:val="000000" w:themeColor="text1"/>
                <w:sz w:val="18"/>
                <w:szCs w:val="18"/>
              </w:rPr>
              <w:t xml:space="preserve"> zijn </w:t>
            </w:r>
            <w:r w:rsidR="00272FB7">
              <w:rPr>
                <w:rFonts w:cs="Arial"/>
                <w:bCs/>
                <w:color w:val="000000" w:themeColor="text1"/>
                <w:sz w:val="18"/>
                <w:szCs w:val="18"/>
              </w:rPr>
              <w:t xml:space="preserve">op basis van </w:t>
            </w:r>
            <w:r w:rsidR="008A68B5">
              <w:rPr>
                <w:rFonts w:cs="Arial"/>
                <w:bCs/>
                <w:color w:val="000000" w:themeColor="text1"/>
                <w:sz w:val="18"/>
                <w:szCs w:val="18"/>
              </w:rPr>
              <w:t xml:space="preserve">gegeven doelstellingen </w:t>
            </w:r>
            <w:r w:rsidR="005F041C" w:rsidRPr="008C23AF">
              <w:rPr>
                <w:rFonts w:cs="Arial"/>
                <w:bCs/>
                <w:color w:val="000000" w:themeColor="text1"/>
                <w:sz w:val="18"/>
                <w:szCs w:val="18"/>
              </w:rPr>
              <w:t>geleid, bijgestuurd en opgeleverd conform de met de opdrachtgever overeengekomen kwaliteiten en tijdvensters en de vastgestelde begroting en kostenopbouw.</w:t>
            </w:r>
          </w:p>
        </w:tc>
        <w:tc>
          <w:tcPr>
            <w:tcW w:w="4501" w:type="dxa"/>
            <w:tcBorders>
              <w:top w:val="single" w:sz="4" w:space="0" w:color="auto"/>
              <w:bottom w:val="single" w:sz="4" w:space="0" w:color="auto"/>
            </w:tcBorders>
            <w:tcMar>
              <w:top w:w="57" w:type="dxa"/>
              <w:left w:w="108" w:type="dxa"/>
              <w:bottom w:w="57" w:type="dxa"/>
              <w:right w:w="108" w:type="dxa"/>
            </w:tcMar>
          </w:tcPr>
          <w:p w14:paraId="26E7DDF4" w14:textId="3CBA2B17" w:rsidR="005F041C" w:rsidRPr="00D02596" w:rsidRDefault="005F041C" w:rsidP="00D02596">
            <w:pPr>
              <w:spacing w:line="240" w:lineRule="auto"/>
              <w:ind w:left="284" w:hanging="284"/>
              <w:rPr>
                <w:sz w:val="18"/>
                <w:szCs w:val="18"/>
              </w:rPr>
            </w:pPr>
            <w:r w:rsidRPr="00D36E98">
              <w:rPr>
                <w:rFonts w:cs="Arial"/>
                <w:sz w:val="18"/>
                <w:szCs w:val="18"/>
              </w:rPr>
              <w:t>-</w:t>
            </w:r>
            <w:r w:rsidRPr="00D36E98">
              <w:rPr>
                <w:rFonts w:cs="Arial"/>
                <w:sz w:val="18"/>
                <w:szCs w:val="18"/>
              </w:rPr>
              <w:tab/>
            </w:r>
            <w:r w:rsidRPr="00D02596">
              <w:rPr>
                <w:sz w:val="18"/>
                <w:szCs w:val="18"/>
              </w:rPr>
              <w:t xml:space="preserve">financieel </w:t>
            </w:r>
            <w:r w:rsidR="00CC4BD3" w:rsidRPr="00D02596">
              <w:rPr>
                <w:sz w:val="18"/>
                <w:szCs w:val="18"/>
              </w:rPr>
              <w:t>programmar</w:t>
            </w:r>
            <w:r w:rsidRPr="00D02596">
              <w:rPr>
                <w:sz w:val="18"/>
                <w:szCs w:val="18"/>
              </w:rPr>
              <w:t>esultaat;</w:t>
            </w:r>
          </w:p>
          <w:p w14:paraId="26E7DDF5" w14:textId="59B4971F" w:rsidR="005F041C" w:rsidRPr="00D02596" w:rsidRDefault="005F041C" w:rsidP="00D02596">
            <w:pPr>
              <w:spacing w:line="240" w:lineRule="auto"/>
              <w:ind w:left="284" w:hanging="284"/>
              <w:rPr>
                <w:sz w:val="18"/>
                <w:szCs w:val="18"/>
              </w:rPr>
            </w:pPr>
            <w:r w:rsidRPr="00D02596">
              <w:rPr>
                <w:sz w:val="18"/>
                <w:szCs w:val="18"/>
              </w:rPr>
              <w:t>-</w:t>
            </w:r>
            <w:r w:rsidRPr="00D02596">
              <w:rPr>
                <w:sz w:val="18"/>
                <w:szCs w:val="18"/>
              </w:rPr>
              <w:tab/>
              <w:t xml:space="preserve">realisatiegraad </w:t>
            </w:r>
            <w:r w:rsidR="00CC4BD3" w:rsidRPr="00D02596">
              <w:rPr>
                <w:sz w:val="18"/>
                <w:szCs w:val="18"/>
              </w:rPr>
              <w:t>programma</w:t>
            </w:r>
            <w:r w:rsidRPr="00D02596">
              <w:rPr>
                <w:sz w:val="18"/>
                <w:szCs w:val="18"/>
              </w:rPr>
              <w:t>-mile-stones;</w:t>
            </w:r>
          </w:p>
          <w:p w14:paraId="26E7DDF6" w14:textId="77777777" w:rsidR="005F041C" w:rsidRPr="00D02596" w:rsidRDefault="005F041C" w:rsidP="00D02596">
            <w:pPr>
              <w:spacing w:line="240" w:lineRule="auto"/>
              <w:ind w:left="284" w:hanging="284"/>
              <w:rPr>
                <w:sz w:val="18"/>
                <w:szCs w:val="18"/>
              </w:rPr>
            </w:pPr>
            <w:r w:rsidRPr="00D02596">
              <w:rPr>
                <w:sz w:val="18"/>
                <w:szCs w:val="18"/>
              </w:rPr>
              <w:t>-</w:t>
            </w:r>
            <w:r w:rsidRPr="00D02596">
              <w:rPr>
                <w:sz w:val="18"/>
                <w:szCs w:val="18"/>
              </w:rPr>
              <w:tab/>
              <w:t>conform interne kaders en werkwijze;</w:t>
            </w:r>
          </w:p>
          <w:p w14:paraId="26E7DDF7" w14:textId="573C4948" w:rsidR="005F041C" w:rsidRPr="00D36E98" w:rsidRDefault="005F041C" w:rsidP="00D02596">
            <w:pPr>
              <w:spacing w:line="240" w:lineRule="auto"/>
              <w:ind w:left="284" w:hanging="284"/>
              <w:rPr>
                <w:rFonts w:cs="Arial"/>
                <w:color w:val="FF0000"/>
                <w:sz w:val="18"/>
                <w:szCs w:val="18"/>
              </w:rPr>
            </w:pPr>
            <w:r w:rsidRPr="00D02596">
              <w:rPr>
                <w:sz w:val="18"/>
                <w:szCs w:val="18"/>
              </w:rPr>
              <w:t>-</w:t>
            </w:r>
            <w:r w:rsidRPr="00D02596">
              <w:rPr>
                <w:sz w:val="18"/>
                <w:szCs w:val="18"/>
              </w:rPr>
              <w:tab/>
              <w:t>tevredenheid deelnemers en doelgroep.</w:t>
            </w:r>
          </w:p>
        </w:tc>
      </w:tr>
      <w:tr w:rsidR="005F041C" w:rsidRPr="00EA6EFB" w14:paraId="26E7DDFE" w14:textId="77777777" w:rsidTr="00D02596">
        <w:trPr>
          <w:trHeight w:val="575"/>
        </w:trPr>
        <w:tc>
          <w:tcPr>
            <w:tcW w:w="10071" w:type="dxa"/>
            <w:tcBorders>
              <w:top w:val="single" w:sz="4" w:space="0" w:color="auto"/>
              <w:bottom w:val="single" w:sz="4" w:space="0" w:color="auto"/>
            </w:tcBorders>
            <w:tcMar>
              <w:top w:w="57" w:type="dxa"/>
              <w:left w:w="108" w:type="dxa"/>
              <w:bottom w:w="57" w:type="dxa"/>
              <w:right w:w="108" w:type="dxa"/>
            </w:tcMar>
          </w:tcPr>
          <w:p w14:paraId="26E7DDF9" w14:textId="55F441DD" w:rsidR="005F041C" w:rsidRPr="00D36E98" w:rsidRDefault="005F2E7B" w:rsidP="008C23AF">
            <w:pPr>
              <w:pStyle w:val="Lijstalinea"/>
              <w:numPr>
                <w:ilvl w:val="0"/>
                <w:numId w:val="11"/>
              </w:numPr>
              <w:ind w:left="284" w:hanging="284"/>
              <w:rPr>
                <w:rFonts w:cs="Arial"/>
                <w:b/>
                <w:color w:val="000000" w:themeColor="text1"/>
                <w:sz w:val="18"/>
                <w:szCs w:val="18"/>
              </w:rPr>
            </w:pPr>
            <w:r w:rsidRPr="00D36E98">
              <w:rPr>
                <w:rFonts w:cs="Arial"/>
                <w:b/>
                <w:color w:val="000000" w:themeColor="text1"/>
                <w:sz w:val="18"/>
                <w:szCs w:val="18"/>
              </w:rPr>
              <w:t>Programma</w:t>
            </w:r>
            <w:r w:rsidR="005F041C" w:rsidRPr="00D36E98">
              <w:rPr>
                <w:rFonts w:cs="Arial"/>
                <w:b/>
                <w:color w:val="000000" w:themeColor="text1"/>
                <w:sz w:val="18"/>
                <w:szCs w:val="18"/>
              </w:rPr>
              <w:t>rapportage en vastlegging</w:t>
            </w:r>
          </w:p>
          <w:p w14:paraId="26E7DDFA" w14:textId="074301F4" w:rsidR="005F041C" w:rsidRPr="00D36E98" w:rsidRDefault="005F041C" w:rsidP="008C23AF">
            <w:pPr>
              <w:spacing w:line="240" w:lineRule="auto"/>
              <w:ind w:left="284"/>
              <w:contextualSpacing/>
              <w:rPr>
                <w:rFonts w:cs="Arial"/>
                <w:sz w:val="18"/>
                <w:szCs w:val="18"/>
              </w:rPr>
            </w:pPr>
            <w:r w:rsidRPr="008C23AF">
              <w:rPr>
                <w:rFonts w:cs="Arial"/>
                <w:bCs/>
                <w:color w:val="000000" w:themeColor="text1"/>
                <w:sz w:val="18"/>
                <w:szCs w:val="18"/>
              </w:rPr>
              <w:t xml:space="preserve">Er is continu inzicht in de (financiële) voortgang en de opdrachtgeverperceptie over de voortgang en kwaliteit van het </w:t>
            </w:r>
            <w:r w:rsidR="005F2E7B" w:rsidRPr="008C23AF">
              <w:rPr>
                <w:rFonts w:cs="Arial"/>
                <w:bCs/>
                <w:color w:val="000000" w:themeColor="text1"/>
                <w:sz w:val="18"/>
                <w:szCs w:val="18"/>
              </w:rPr>
              <w:t>programma</w:t>
            </w:r>
            <w:r w:rsidRPr="008C23AF">
              <w:rPr>
                <w:rFonts w:cs="Arial"/>
                <w:bCs/>
                <w:color w:val="000000" w:themeColor="text1"/>
                <w:sz w:val="18"/>
                <w:szCs w:val="18"/>
              </w:rPr>
              <w:t xml:space="preserve"> bij belanghebbenden, zodat tijdig bijgestuurd kan worden.</w:t>
            </w:r>
          </w:p>
        </w:tc>
        <w:tc>
          <w:tcPr>
            <w:tcW w:w="4501" w:type="dxa"/>
            <w:tcBorders>
              <w:top w:val="single" w:sz="4" w:space="0" w:color="auto"/>
              <w:bottom w:val="single" w:sz="4" w:space="0" w:color="auto"/>
            </w:tcBorders>
            <w:tcMar>
              <w:top w:w="57" w:type="dxa"/>
              <w:left w:w="108" w:type="dxa"/>
              <w:bottom w:w="57" w:type="dxa"/>
              <w:right w:w="108" w:type="dxa"/>
            </w:tcMar>
          </w:tcPr>
          <w:p w14:paraId="26E7DDFB" w14:textId="60D2417F" w:rsidR="005F041C" w:rsidRPr="00D02596" w:rsidRDefault="005F041C" w:rsidP="00D02596">
            <w:pPr>
              <w:spacing w:line="240" w:lineRule="auto"/>
              <w:ind w:left="284" w:hanging="284"/>
              <w:rPr>
                <w:sz w:val="18"/>
                <w:szCs w:val="18"/>
              </w:rPr>
            </w:pPr>
            <w:r w:rsidRPr="00D36E98">
              <w:rPr>
                <w:rFonts w:cs="Arial"/>
                <w:sz w:val="18"/>
                <w:szCs w:val="18"/>
              </w:rPr>
              <w:t>-</w:t>
            </w:r>
            <w:r w:rsidRPr="00D36E98">
              <w:rPr>
                <w:rFonts w:cs="Arial"/>
                <w:sz w:val="18"/>
                <w:szCs w:val="18"/>
              </w:rPr>
              <w:tab/>
            </w:r>
            <w:r w:rsidRPr="00D02596">
              <w:rPr>
                <w:sz w:val="18"/>
                <w:szCs w:val="18"/>
              </w:rPr>
              <w:t xml:space="preserve">volledigheid </w:t>
            </w:r>
            <w:r w:rsidR="00D36E98" w:rsidRPr="00D02596">
              <w:rPr>
                <w:sz w:val="18"/>
                <w:szCs w:val="18"/>
              </w:rPr>
              <w:t>programma-/</w:t>
            </w:r>
            <w:r w:rsidRPr="00D02596">
              <w:rPr>
                <w:sz w:val="18"/>
                <w:szCs w:val="18"/>
              </w:rPr>
              <w:t>projectdossier</w:t>
            </w:r>
            <w:r w:rsidR="00D36E98" w:rsidRPr="00D02596">
              <w:rPr>
                <w:sz w:val="18"/>
                <w:szCs w:val="18"/>
              </w:rPr>
              <w:t>s</w:t>
            </w:r>
            <w:r w:rsidRPr="00D02596">
              <w:rPr>
                <w:sz w:val="18"/>
                <w:szCs w:val="18"/>
              </w:rPr>
              <w:t>/</w:t>
            </w:r>
            <w:r w:rsidR="00C973DE">
              <w:rPr>
                <w:sz w:val="18"/>
                <w:szCs w:val="18"/>
              </w:rPr>
              <w:t xml:space="preserve"> </w:t>
            </w:r>
            <w:r w:rsidRPr="00D02596">
              <w:rPr>
                <w:sz w:val="18"/>
                <w:szCs w:val="18"/>
              </w:rPr>
              <w:t>documentatie;</w:t>
            </w:r>
          </w:p>
          <w:p w14:paraId="26E7DDFC" w14:textId="77777777" w:rsidR="005F041C" w:rsidRPr="00D02596" w:rsidRDefault="005F041C" w:rsidP="00D02596">
            <w:pPr>
              <w:spacing w:line="240" w:lineRule="auto"/>
              <w:ind w:left="284" w:hanging="284"/>
              <w:rPr>
                <w:sz w:val="18"/>
                <w:szCs w:val="18"/>
              </w:rPr>
            </w:pPr>
            <w:r w:rsidRPr="00D02596">
              <w:rPr>
                <w:sz w:val="18"/>
                <w:szCs w:val="18"/>
              </w:rPr>
              <w:t>-</w:t>
            </w:r>
            <w:r w:rsidRPr="00D02596">
              <w:rPr>
                <w:sz w:val="18"/>
                <w:szCs w:val="18"/>
              </w:rPr>
              <w:tab/>
              <w:t>tijdigheid en kwaliteit voortgangsrapportages (tevredenheid opdrachtgever en interne organisatie);</w:t>
            </w:r>
          </w:p>
          <w:p w14:paraId="26E7DDFD" w14:textId="3536ACBF" w:rsidR="005F041C" w:rsidRPr="00D36E98" w:rsidRDefault="005F041C" w:rsidP="00D02596">
            <w:pPr>
              <w:spacing w:line="240" w:lineRule="auto"/>
              <w:ind w:left="284" w:hanging="284"/>
              <w:rPr>
                <w:rFonts w:cs="Arial"/>
                <w:color w:val="FF0000"/>
                <w:sz w:val="18"/>
                <w:szCs w:val="18"/>
              </w:rPr>
            </w:pPr>
            <w:r w:rsidRPr="00D02596">
              <w:rPr>
                <w:sz w:val="18"/>
                <w:szCs w:val="18"/>
              </w:rPr>
              <w:t>-</w:t>
            </w:r>
            <w:r w:rsidRPr="00D02596">
              <w:rPr>
                <w:sz w:val="18"/>
                <w:szCs w:val="18"/>
              </w:rPr>
              <w:tab/>
              <w:t>kwaliteit evaluaties.</w:t>
            </w:r>
          </w:p>
        </w:tc>
      </w:tr>
      <w:tr w:rsidR="005F041C" w:rsidRPr="00EA6EFB" w14:paraId="26E7DE03" w14:textId="77777777" w:rsidTr="00D02596">
        <w:trPr>
          <w:trHeight w:val="575"/>
        </w:trPr>
        <w:tc>
          <w:tcPr>
            <w:tcW w:w="10071" w:type="dxa"/>
            <w:tcBorders>
              <w:top w:val="single" w:sz="4" w:space="0" w:color="auto"/>
              <w:bottom w:val="single" w:sz="4" w:space="0" w:color="auto"/>
            </w:tcBorders>
            <w:tcMar>
              <w:top w:w="57" w:type="dxa"/>
              <w:left w:w="108" w:type="dxa"/>
              <w:bottom w:w="57" w:type="dxa"/>
              <w:right w:w="108" w:type="dxa"/>
            </w:tcMar>
          </w:tcPr>
          <w:p w14:paraId="26E7DDFF" w14:textId="4BA503E5" w:rsidR="005F041C" w:rsidRPr="00D36E98" w:rsidRDefault="005F041C" w:rsidP="00D02596">
            <w:pPr>
              <w:pStyle w:val="Lijstalinea"/>
              <w:pageBreakBefore/>
              <w:numPr>
                <w:ilvl w:val="0"/>
                <w:numId w:val="11"/>
              </w:numPr>
              <w:spacing w:line="240" w:lineRule="auto"/>
              <w:ind w:left="284" w:hanging="284"/>
              <w:rPr>
                <w:rFonts w:cs="Arial"/>
                <w:b/>
                <w:color w:val="000000" w:themeColor="text1"/>
                <w:sz w:val="18"/>
                <w:szCs w:val="18"/>
              </w:rPr>
            </w:pPr>
            <w:r w:rsidRPr="00D36E98">
              <w:rPr>
                <w:rFonts w:cs="Arial"/>
                <w:b/>
                <w:color w:val="000000" w:themeColor="text1"/>
                <w:sz w:val="18"/>
                <w:szCs w:val="18"/>
              </w:rPr>
              <w:lastRenderedPageBreak/>
              <w:t xml:space="preserve">Financiële </w:t>
            </w:r>
            <w:r w:rsidR="005F2E7B" w:rsidRPr="00D36E98">
              <w:rPr>
                <w:rFonts w:cs="Arial"/>
                <w:b/>
                <w:color w:val="000000" w:themeColor="text1"/>
                <w:sz w:val="18"/>
                <w:szCs w:val="18"/>
              </w:rPr>
              <w:t>programma-</w:t>
            </w:r>
            <w:r w:rsidRPr="00D36E98">
              <w:rPr>
                <w:rFonts w:cs="Arial"/>
                <w:b/>
                <w:color w:val="000000" w:themeColor="text1"/>
                <w:sz w:val="18"/>
                <w:szCs w:val="18"/>
              </w:rPr>
              <w:t>afwikkeling</w:t>
            </w:r>
          </w:p>
          <w:p w14:paraId="26E7DE00" w14:textId="4C342382" w:rsidR="005F041C" w:rsidRPr="00D36E98" w:rsidRDefault="005F041C" w:rsidP="00D02596">
            <w:pPr>
              <w:pageBreakBefore/>
              <w:spacing w:line="240" w:lineRule="auto"/>
              <w:ind w:left="284"/>
              <w:contextualSpacing/>
              <w:rPr>
                <w:rFonts w:cs="Arial"/>
                <w:sz w:val="18"/>
                <w:szCs w:val="18"/>
              </w:rPr>
            </w:pPr>
            <w:r w:rsidRPr="008C23AF">
              <w:rPr>
                <w:rFonts w:cs="Arial"/>
                <w:bCs/>
                <w:color w:val="000000" w:themeColor="text1"/>
                <w:sz w:val="18"/>
                <w:szCs w:val="18"/>
              </w:rPr>
              <w:t xml:space="preserve">Betalingen zijn in lijn met de door de </w:t>
            </w:r>
            <w:r w:rsidR="005F2E7B" w:rsidRPr="008C23AF">
              <w:rPr>
                <w:rFonts w:cs="Arial"/>
                <w:bCs/>
                <w:color w:val="000000" w:themeColor="text1"/>
                <w:sz w:val="18"/>
                <w:szCs w:val="18"/>
              </w:rPr>
              <w:t xml:space="preserve">programma- en </w:t>
            </w:r>
            <w:r w:rsidRPr="008C23AF">
              <w:rPr>
                <w:rFonts w:cs="Arial"/>
                <w:bCs/>
                <w:color w:val="000000" w:themeColor="text1"/>
                <w:sz w:val="18"/>
                <w:szCs w:val="18"/>
              </w:rPr>
              <w:t xml:space="preserve">projectorganisatie geleverde inspanningen, </w:t>
            </w:r>
            <w:r w:rsidR="005F2E7B" w:rsidRPr="008C23AF">
              <w:rPr>
                <w:rFonts w:cs="Arial"/>
                <w:bCs/>
                <w:color w:val="000000" w:themeColor="text1"/>
                <w:sz w:val="18"/>
                <w:szCs w:val="18"/>
              </w:rPr>
              <w:t>r</w:t>
            </w:r>
            <w:r w:rsidRPr="008C23AF">
              <w:rPr>
                <w:rFonts w:cs="Arial"/>
                <w:bCs/>
                <w:color w:val="000000" w:themeColor="text1"/>
                <w:sz w:val="18"/>
                <w:szCs w:val="18"/>
              </w:rPr>
              <w:t>esultaten en contractuele termijnafspraken.</w:t>
            </w:r>
          </w:p>
        </w:tc>
        <w:tc>
          <w:tcPr>
            <w:tcW w:w="4501" w:type="dxa"/>
            <w:tcBorders>
              <w:top w:val="single" w:sz="4" w:space="0" w:color="auto"/>
              <w:bottom w:val="single" w:sz="4" w:space="0" w:color="auto"/>
            </w:tcBorders>
            <w:tcMar>
              <w:top w:w="57" w:type="dxa"/>
              <w:left w:w="108" w:type="dxa"/>
              <w:bottom w:w="57" w:type="dxa"/>
              <w:right w:w="108" w:type="dxa"/>
            </w:tcMar>
          </w:tcPr>
          <w:p w14:paraId="26E7DE01" w14:textId="28A8CC70" w:rsidR="005F041C" w:rsidRPr="00D02596" w:rsidRDefault="005F041C" w:rsidP="00D02596">
            <w:pPr>
              <w:pageBreakBefore/>
              <w:tabs>
                <w:tab w:val="left" w:pos="11624"/>
                <w:tab w:val="left" w:pos="13041"/>
              </w:tabs>
              <w:spacing w:line="240" w:lineRule="auto"/>
              <w:ind w:left="284" w:hanging="284"/>
              <w:rPr>
                <w:sz w:val="18"/>
                <w:szCs w:val="18"/>
              </w:rPr>
            </w:pPr>
            <w:r w:rsidRPr="00D36E98">
              <w:rPr>
                <w:rFonts w:cs="Arial"/>
                <w:sz w:val="18"/>
                <w:szCs w:val="18"/>
              </w:rPr>
              <w:t>-</w:t>
            </w:r>
            <w:r w:rsidRPr="00D36E98">
              <w:rPr>
                <w:rFonts w:cs="Arial"/>
                <w:sz w:val="18"/>
                <w:szCs w:val="18"/>
              </w:rPr>
              <w:tab/>
            </w:r>
            <w:r w:rsidRPr="00D02596">
              <w:rPr>
                <w:sz w:val="18"/>
                <w:szCs w:val="18"/>
              </w:rPr>
              <w:t xml:space="preserve">sluitend financieel </w:t>
            </w:r>
            <w:r w:rsidR="00D36E98" w:rsidRPr="00D02596">
              <w:rPr>
                <w:sz w:val="18"/>
                <w:szCs w:val="18"/>
              </w:rPr>
              <w:t>programma-/</w:t>
            </w:r>
            <w:r w:rsidRPr="00D02596">
              <w:rPr>
                <w:sz w:val="18"/>
                <w:szCs w:val="18"/>
              </w:rPr>
              <w:t>projectresultaat (omvang nog te declareren kosten/uren) en autorisatie uren;</w:t>
            </w:r>
          </w:p>
          <w:p w14:paraId="26E7DE02" w14:textId="6EB79F5B" w:rsidR="005F041C" w:rsidRPr="00D36E98" w:rsidDel="00B619E6" w:rsidRDefault="005F041C" w:rsidP="00D02596">
            <w:pPr>
              <w:pageBreakBefore/>
              <w:spacing w:line="240" w:lineRule="auto"/>
              <w:ind w:left="284" w:hanging="284"/>
              <w:rPr>
                <w:rFonts w:cs="Arial"/>
                <w:color w:val="FF0000"/>
                <w:sz w:val="18"/>
                <w:szCs w:val="18"/>
              </w:rPr>
            </w:pPr>
            <w:r w:rsidRPr="00D36E98">
              <w:rPr>
                <w:rFonts w:cs="Arial"/>
                <w:sz w:val="18"/>
                <w:szCs w:val="18"/>
              </w:rPr>
              <w:t>-</w:t>
            </w:r>
            <w:r w:rsidRPr="00D36E98">
              <w:rPr>
                <w:rFonts w:cs="Arial"/>
                <w:sz w:val="18"/>
                <w:szCs w:val="18"/>
              </w:rPr>
              <w:tab/>
            </w:r>
            <w:r w:rsidRPr="00D02596">
              <w:rPr>
                <w:sz w:val="18"/>
                <w:szCs w:val="18"/>
              </w:rPr>
              <w:t>aantal/omvang openstaande niet geautoriseerde uren.</w:t>
            </w:r>
          </w:p>
        </w:tc>
      </w:tr>
      <w:tr w:rsidR="005F041C" w:rsidRPr="00EA6EFB" w14:paraId="608EB551" w14:textId="77777777" w:rsidTr="00D02596">
        <w:trPr>
          <w:trHeight w:val="575"/>
        </w:trPr>
        <w:tc>
          <w:tcPr>
            <w:tcW w:w="10071" w:type="dxa"/>
            <w:tcBorders>
              <w:top w:val="single" w:sz="4" w:space="0" w:color="auto"/>
              <w:bottom w:val="single" w:sz="4" w:space="0" w:color="auto"/>
            </w:tcBorders>
            <w:tcMar>
              <w:top w:w="57" w:type="dxa"/>
              <w:left w:w="108" w:type="dxa"/>
              <w:bottom w:w="57" w:type="dxa"/>
              <w:right w:w="108" w:type="dxa"/>
            </w:tcMar>
          </w:tcPr>
          <w:p w14:paraId="7B73DF04" w14:textId="75233CC4" w:rsidR="005F041C" w:rsidRPr="008C23AF" w:rsidRDefault="005F041C" w:rsidP="008C23AF">
            <w:pPr>
              <w:pStyle w:val="Lijstalinea"/>
              <w:numPr>
                <w:ilvl w:val="0"/>
                <w:numId w:val="11"/>
              </w:numPr>
              <w:ind w:left="284" w:hanging="284"/>
              <w:rPr>
                <w:rFonts w:cs="Arial"/>
                <w:b/>
                <w:color w:val="000000" w:themeColor="text1"/>
                <w:sz w:val="18"/>
                <w:szCs w:val="18"/>
              </w:rPr>
            </w:pPr>
            <w:r w:rsidRPr="008C23AF">
              <w:rPr>
                <w:rFonts w:cs="Arial"/>
                <w:b/>
                <w:color w:val="000000" w:themeColor="text1"/>
                <w:sz w:val="18"/>
                <w:szCs w:val="18"/>
              </w:rPr>
              <w:t>Externe samenwerking</w:t>
            </w:r>
          </w:p>
          <w:p w14:paraId="504C0DB8" w14:textId="133AA762" w:rsidR="005F041C" w:rsidRPr="00572567" w:rsidRDefault="005F041C" w:rsidP="008C23AF">
            <w:pPr>
              <w:spacing w:line="240" w:lineRule="auto"/>
              <w:ind w:left="284"/>
              <w:contextualSpacing/>
              <w:rPr>
                <w:b/>
                <w:color w:val="000000" w:themeColor="text1"/>
                <w:sz w:val="18"/>
                <w:szCs w:val="18"/>
              </w:rPr>
            </w:pPr>
            <w:r w:rsidRPr="008C23AF">
              <w:rPr>
                <w:rFonts w:cs="Arial"/>
                <w:bCs/>
                <w:color w:val="000000" w:themeColor="text1"/>
                <w:sz w:val="18"/>
                <w:szCs w:val="18"/>
              </w:rPr>
              <w:t>De afstemming en samenwerking met externen in het kader van (project)bijdragen zijn effectief ingevuld, mede in de rol van opdrachtgever, waardoor de realisatie van doelen, resultaten en/of veranderingen worden gerealiseerd met de inzet, betrokkenheid en bijdragen van externe stakeholders en dienstverleners.</w:t>
            </w:r>
          </w:p>
        </w:tc>
        <w:tc>
          <w:tcPr>
            <w:tcW w:w="4501" w:type="dxa"/>
            <w:tcBorders>
              <w:top w:val="single" w:sz="4" w:space="0" w:color="auto"/>
              <w:bottom w:val="single" w:sz="4" w:space="0" w:color="auto"/>
            </w:tcBorders>
            <w:tcMar>
              <w:top w:w="57" w:type="dxa"/>
              <w:left w:w="108" w:type="dxa"/>
              <w:bottom w:w="57" w:type="dxa"/>
              <w:right w:w="108" w:type="dxa"/>
            </w:tcMar>
          </w:tcPr>
          <w:p w14:paraId="4D139A18" w14:textId="77777777" w:rsidR="005F041C" w:rsidRPr="00572567" w:rsidRDefault="005F041C" w:rsidP="00D02596">
            <w:pPr>
              <w:numPr>
                <w:ilvl w:val="0"/>
                <w:numId w:val="9"/>
              </w:numPr>
              <w:spacing w:line="240" w:lineRule="auto"/>
              <w:ind w:left="284" w:hanging="284"/>
              <w:rPr>
                <w:sz w:val="18"/>
                <w:szCs w:val="18"/>
              </w:rPr>
            </w:pPr>
            <w:r w:rsidRPr="00572567">
              <w:rPr>
                <w:sz w:val="18"/>
                <w:szCs w:val="18"/>
              </w:rPr>
              <w:t>beschikbaarheid, bruikbaarheid netwerk;</w:t>
            </w:r>
          </w:p>
          <w:p w14:paraId="040B5BCC" w14:textId="77777777" w:rsidR="005F041C" w:rsidRPr="00572567" w:rsidRDefault="005F041C" w:rsidP="00D02596">
            <w:pPr>
              <w:numPr>
                <w:ilvl w:val="0"/>
                <w:numId w:val="9"/>
              </w:numPr>
              <w:spacing w:line="240" w:lineRule="auto"/>
              <w:ind w:left="284" w:hanging="284"/>
              <w:rPr>
                <w:sz w:val="18"/>
                <w:szCs w:val="18"/>
              </w:rPr>
            </w:pPr>
            <w:r w:rsidRPr="00572567">
              <w:rPr>
                <w:sz w:val="18"/>
                <w:szCs w:val="18"/>
              </w:rPr>
              <w:t>invloed op standpunten, plannen van stakeholders;</w:t>
            </w:r>
          </w:p>
          <w:p w14:paraId="17BE3CA6" w14:textId="77777777" w:rsidR="00572567" w:rsidRPr="00572567" w:rsidRDefault="005F041C" w:rsidP="00D02596">
            <w:pPr>
              <w:numPr>
                <w:ilvl w:val="0"/>
                <w:numId w:val="9"/>
              </w:numPr>
              <w:spacing w:line="240" w:lineRule="auto"/>
              <w:ind w:left="284" w:hanging="284"/>
              <w:rPr>
                <w:sz w:val="18"/>
                <w:szCs w:val="18"/>
              </w:rPr>
            </w:pPr>
            <w:r w:rsidRPr="00572567">
              <w:rPr>
                <w:sz w:val="18"/>
                <w:szCs w:val="18"/>
              </w:rPr>
              <w:t>effectieve afspraken over inzet, bijdragen externen;</w:t>
            </w:r>
          </w:p>
          <w:p w14:paraId="10B73C3D" w14:textId="5AD425E2" w:rsidR="005F041C" w:rsidRPr="00572567" w:rsidRDefault="005F041C" w:rsidP="00D02596">
            <w:pPr>
              <w:numPr>
                <w:ilvl w:val="0"/>
                <w:numId w:val="9"/>
              </w:numPr>
              <w:spacing w:line="240" w:lineRule="auto"/>
              <w:ind w:left="284" w:hanging="284"/>
              <w:rPr>
                <w:sz w:val="18"/>
                <w:szCs w:val="18"/>
              </w:rPr>
            </w:pPr>
            <w:r w:rsidRPr="00572567">
              <w:rPr>
                <w:sz w:val="18"/>
                <w:szCs w:val="18"/>
              </w:rPr>
              <w:t>feitelijke realisatie bijdragen externen conform afspraken.</w:t>
            </w:r>
          </w:p>
        </w:tc>
      </w:tr>
      <w:tr w:rsidR="005F041C" w:rsidRPr="00EA6EFB" w14:paraId="26E7DE06" w14:textId="77777777" w:rsidTr="00D02596">
        <w:trPr>
          <w:trHeight w:val="301"/>
        </w:trPr>
        <w:tc>
          <w:tcPr>
            <w:tcW w:w="14572" w:type="dxa"/>
            <w:gridSpan w:val="2"/>
            <w:tcBorders>
              <w:top w:val="single" w:sz="4" w:space="0" w:color="auto"/>
              <w:bottom w:val="single" w:sz="4" w:space="0" w:color="auto"/>
            </w:tcBorders>
            <w:tcMar>
              <w:top w:w="57" w:type="dxa"/>
              <w:left w:w="108" w:type="dxa"/>
              <w:bottom w:w="57" w:type="dxa"/>
              <w:right w:w="108" w:type="dxa"/>
            </w:tcMar>
          </w:tcPr>
          <w:p w14:paraId="26E7DE04" w14:textId="77777777" w:rsidR="005F041C" w:rsidRPr="00EA6EFB" w:rsidRDefault="005F041C" w:rsidP="005F041C">
            <w:pPr>
              <w:spacing w:line="240" w:lineRule="auto"/>
              <w:ind w:left="284" w:hanging="284"/>
              <w:rPr>
                <w:color w:val="F18213"/>
                <w:sz w:val="18"/>
                <w:szCs w:val="18"/>
              </w:rPr>
            </w:pPr>
            <w:r w:rsidRPr="00EA6EFB">
              <w:rPr>
                <w:b/>
                <w:color w:val="F18213"/>
                <w:sz w:val="18"/>
                <w:szCs w:val="18"/>
              </w:rPr>
              <w:t>Bezwarende werkomstandigheden</w:t>
            </w:r>
          </w:p>
          <w:p w14:paraId="26E7DE05" w14:textId="77777777" w:rsidR="005F041C" w:rsidRPr="00EA6EFB" w:rsidRDefault="005F041C" w:rsidP="005F041C">
            <w:pPr>
              <w:spacing w:line="240" w:lineRule="auto"/>
              <w:ind w:left="284" w:hanging="284"/>
              <w:rPr>
                <w:sz w:val="18"/>
                <w:szCs w:val="18"/>
              </w:rPr>
            </w:pPr>
            <w:r w:rsidRPr="00EA6EFB">
              <w:rPr>
                <w:sz w:val="18"/>
                <w:szCs w:val="18"/>
              </w:rPr>
              <w:t>-</w:t>
            </w:r>
            <w:r w:rsidRPr="00EA6EFB">
              <w:rPr>
                <w:sz w:val="18"/>
                <w:szCs w:val="18"/>
              </w:rPr>
              <w:tab/>
            </w:r>
            <w:r>
              <w:rPr>
                <w:sz w:val="18"/>
                <w:szCs w:val="18"/>
              </w:rPr>
              <w:t>Geen bijzondere.</w:t>
            </w:r>
          </w:p>
        </w:tc>
      </w:tr>
    </w:tbl>
    <w:p w14:paraId="26E7DE07" w14:textId="77777777" w:rsidR="00CA42AF" w:rsidRPr="00EA6EFB" w:rsidRDefault="00EA6EFB" w:rsidP="00EA6EFB">
      <w:pPr>
        <w:tabs>
          <w:tab w:val="right" w:pos="14570"/>
        </w:tabs>
        <w:spacing w:line="240" w:lineRule="auto"/>
        <w:rPr>
          <w:sz w:val="14"/>
          <w:szCs w:val="14"/>
        </w:rPr>
      </w:pPr>
      <w:r>
        <w:rPr>
          <w:i/>
          <w:sz w:val="16"/>
        </w:rPr>
        <w:tab/>
      </w:r>
    </w:p>
    <w:sectPr w:rsidR="00CA42AF" w:rsidRPr="00EA6EFB" w:rsidSect="003559D3">
      <w:headerReference w:type="default" r:id="rId10"/>
      <w:footerReference w:type="default" r:id="rId11"/>
      <w:pgSz w:w="16838" w:h="11899" w:orient="landscape"/>
      <w:pgMar w:top="1134" w:right="1134" w:bottom="1134" w:left="1134" w:header="113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A7A5" w14:textId="77777777" w:rsidR="003559D3" w:rsidRDefault="003559D3" w:rsidP="001073D2">
      <w:pPr>
        <w:spacing w:line="240" w:lineRule="auto"/>
      </w:pPr>
      <w:r>
        <w:separator/>
      </w:r>
    </w:p>
  </w:endnote>
  <w:endnote w:type="continuationSeparator" w:id="0">
    <w:p w14:paraId="3F0DF74C" w14:textId="77777777" w:rsidR="003559D3" w:rsidRDefault="003559D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DE0D" w14:textId="6D7AC739" w:rsidR="0033575D" w:rsidRPr="00FF5B7D" w:rsidRDefault="000C1D4D" w:rsidP="000C1D4D">
    <w:pPr>
      <w:pStyle w:val="Voettekst"/>
      <w:tabs>
        <w:tab w:val="clear" w:pos="4153"/>
        <w:tab w:val="clear" w:pos="8306"/>
        <w:tab w:val="right" w:pos="15026"/>
      </w:tabs>
      <w:spacing w:line="240" w:lineRule="atLeast"/>
      <w:ind w:right="-518"/>
      <w:jc w:val="left"/>
      <w:rPr>
        <w:b/>
        <w:sz w:val="16"/>
      </w:rPr>
    </w:pPr>
    <w:r>
      <w:rPr>
        <w:sz w:val="16"/>
      </w:rPr>
      <w:t>Opgesteld door EVZ organisatie-advies</w:t>
    </w:r>
    <w:r w:rsidR="00182624">
      <w:rPr>
        <w:sz w:val="16"/>
      </w:rPr>
      <w:t xml:space="preserve"> </w:t>
    </w:r>
    <w:r w:rsidR="00CE1D21">
      <w:rPr>
        <w:sz w:val="16"/>
      </w:rPr>
      <w:t xml:space="preserve">| </w:t>
    </w:r>
    <w:r w:rsidR="00B34CE3">
      <w:rPr>
        <w:sz w:val="16"/>
      </w:rPr>
      <w:t>19</w:t>
    </w:r>
    <w:r w:rsidR="00FA7E90">
      <w:rPr>
        <w:sz w:val="16"/>
      </w:rPr>
      <w:t>0324</w:t>
    </w:r>
    <w:r w:rsidR="00CA42AF">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85B5" w14:textId="77777777" w:rsidR="003559D3" w:rsidRDefault="003559D3" w:rsidP="001073D2">
      <w:pPr>
        <w:spacing w:line="240" w:lineRule="auto"/>
      </w:pPr>
      <w:r>
        <w:separator/>
      </w:r>
    </w:p>
  </w:footnote>
  <w:footnote w:type="continuationSeparator" w:id="0">
    <w:p w14:paraId="797CA972" w14:textId="77777777" w:rsidR="003559D3" w:rsidRDefault="003559D3" w:rsidP="001073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DE0C" w14:textId="77777777" w:rsidR="00860F94" w:rsidRPr="001C6E47" w:rsidRDefault="009D0165" w:rsidP="00EA3029">
    <w:pPr>
      <w:pStyle w:val="Koptekst"/>
      <w:tabs>
        <w:tab w:val="clear" w:pos="4153"/>
        <w:tab w:val="clear" w:pos="8306"/>
        <w:tab w:val="left" w:pos="851"/>
        <w:tab w:val="center" w:pos="5245"/>
        <w:tab w:val="right" w:pos="9639"/>
      </w:tabs>
      <w:ind w:left="1134" w:right="-292" w:hanging="1134"/>
      <w:jc w:val="left"/>
      <w:rPr>
        <w:sz w:val="16"/>
        <w:szCs w:val="16"/>
        <w:lang w:eastAsia="nl-NL"/>
      </w:rPr>
    </w:pPr>
    <w:r>
      <w:rPr>
        <w:noProof/>
        <w:lang w:eastAsia="nl-NL"/>
      </w:rPr>
      <w:t>FUNCTIE-OMSCHRIJVING</w:t>
    </w:r>
    <w:r w:rsidR="00EA3029">
      <w:rPr>
        <w:noProof/>
        <w:lang w:eastAsia="nl-NL"/>
      </w:rPr>
      <w:tab/>
    </w:r>
    <w:r w:rsidR="00EA3029">
      <w:rPr>
        <w:noProof/>
        <w:lang w:eastAsia="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E76"/>
    <w:multiLevelType w:val="hybridMultilevel"/>
    <w:tmpl w:val="723842A4"/>
    <w:lvl w:ilvl="0" w:tplc="9F4A43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CE2798"/>
    <w:multiLevelType w:val="singleLevel"/>
    <w:tmpl w:val="EC984A56"/>
    <w:lvl w:ilvl="0">
      <w:start w:val="1"/>
      <w:numFmt w:val="bullet"/>
      <w:pStyle w:val="LijstInTabel"/>
      <w:lvlText w:val="­"/>
      <w:lvlJc w:val="left"/>
      <w:pPr>
        <w:tabs>
          <w:tab w:val="num" w:pos="170"/>
        </w:tabs>
        <w:ind w:left="170" w:hanging="170"/>
      </w:pPr>
      <w:rPr>
        <w:color w:val="auto"/>
        <w:sz w:val="18"/>
      </w:rPr>
    </w:lvl>
  </w:abstractNum>
  <w:abstractNum w:abstractNumId="2" w15:restartNumberingAfterBreak="0">
    <w:nsid w:val="21322A74"/>
    <w:multiLevelType w:val="hybridMultilevel"/>
    <w:tmpl w:val="16C867C6"/>
    <w:lvl w:ilvl="0" w:tplc="6B2EEC9A">
      <w:numFmt w:val="bullet"/>
      <w:lvlText w:val="-"/>
      <w:lvlJc w:val="left"/>
      <w:pPr>
        <w:tabs>
          <w:tab w:val="num" w:pos="340"/>
        </w:tabs>
        <w:ind w:left="340" w:hanging="340"/>
      </w:pPr>
      <w:rPr>
        <w:rFonts w:ascii="Arial" w:eastAsia="Times New Roman" w:hAnsi="Arial" w:hint="default"/>
        <w:w w:val="0"/>
      </w:rPr>
    </w:lvl>
    <w:lvl w:ilvl="1" w:tplc="900CE584">
      <w:numFmt w:val="bullet"/>
      <w:lvlText w:val=""/>
      <w:lvlJc w:val="left"/>
      <w:pPr>
        <w:tabs>
          <w:tab w:val="num" w:pos="1420"/>
        </w:tabs>
        <w:ind w:left="1420" w:hanging="340"/>
      </w:pPr>
      <w:rPr>
        <w:rFonts w:ascii="Symbol" w:eastAsia="Times New Roman" w:hAnsi="Symbol" w:hint="default"/>
        <w:color w:val="auto"/>
        <w:w w:val="0"/>
      </w:rPr>
    </w:lvl>
    <w:lvl w:ilvl="2" w:tplc="4070EEF8">
      <w:start w:val="10"/>
      <w:numFmt w:val="bullet"/>
      <w:lvlText w:val="-"/>
      <w:lvlJc w:val="left"/>
      <w:pPr>
        <w:tabs>
          <w:tab w:val="num" w:pos="2160"/>
        </w:tabs>
        <w:ind w:left="2160" w:hanging="360"/>
      </w:pPr>
      <w:rPr>
        <w:rFonts w:ascii="Times New Roman" w:eastAsia="Times New Roman" w:hAnsi="Times New Roman" w:hint="default"/>
      </w:rPr>
    </w:lvl>
    <w:lvl w:ilvl="3" w:tplc="00010409">
      <w:start w:val="1"/>
      <w:numFmt w:val="bullet"/>
      <w:lvlText w:val=""/>
      <w:lvlJc w:val="left"/>
      <w:pPr>
        <w:tabs>
          <w:tab w:val="num" w:pos="2880"/>
        </w:tabs>
        <w:ind w:left="2880" w:hanging="360"/>
      </w:pPr>
      <w:rPr>
        <w:rFonts w:ascii="Symbol" w:hAnsi="Symbol" w:hint="default"/>
        <w:w w:val="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7D1A85"/>
    <w:multiLevelType w:val="hybridMultilevel"/>
    <w:tmpl w:val="898432A0"/>
    <w:lvl w:ilvl="0" w:tplc="0B2E660E">
      <w:start w:val="1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820E9"/>
    <w:multiLevelType w:val="hybridMultilevel"/>
    <w:tmpl w:val="43CEAB5E"/>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97417"/>
    <w:multiLevelType w:val="hybridMultilevel"/>
    <w:tmpl w:val="C93E092A"/>
    <w:lvl w:ilvl="0" w:tplc="BA2CE0B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5C7536"/>
    <w:multiLevelType w:val="hybridMultilevel"/>
    <w:tmpl w:val="94E0C1A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7A6B08"/>
    <w:multiLevelType w:val="hybridMultilevel"/>
    <w:tmpl w:val="847E70F0"/>
    <w:lvl w:ilvl="0" w:tplc="776A83D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F01DDD"/>
    <w:multiLevelType w:val="hybridMultilevel"/>
    <w:tmpl w:val="DCA09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051132C"/>
    <w:multiLevelType w:val="hybridMultilevel"/>
    <w:tmpl w:val="D3EA6504"/>
    <w:lvl w:ilvl="0" w:tplc="A866F3A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B3E49"/>
    <w:multiLevelType w:val="hybridMultilevel"/>
    <w:tmpl w:val="54886658"/>
    <w:lvl w:ilvl="0" w:tplc="EE04CE00">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820A2D"/>
    <w:multiLevelType w:val="hybridMultilevel"/>
    <w:tmpl w:val="14E63EEA"/>
    <w:lvl w:ilvl="0" w:tplc="BA2CE0B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CB49BD"/>
    <w:multiLevelType w:val="hybridMultilevel"/>
    <w:tmpl w:val="1C6CC7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8F67865"/>
    <w:multiLevelType w:val="hybridMultilevel"/>
    <w:tmpl w:val="1BFE32B8"/>
    <w:lvl w:ilvl="0" w:tplc="5AF6E2EC">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073892">
    <w:abstractNumId w:val="2"/>
  </w:num>
  <w:num w:numId="2" w16cid:durableId="1475027983">
    <w:abstractNumId w:val="4"/>
  </w:num>
  <w:num w:numId="3" w16cid:durableId="539784968">
    <w:abstractNumId w:val="9"/>
  </w:num>
  <w:num w:numId="4" w16cid:durableId="398869762">
    <w:abstractNumId w:val="13"/>
  </w:num>
  <w:num w:numId="5" w16cid:durableId="1067798170">
    <w:abstractNumId w:val="12"/>
  </w:num>
  <w:num w:numId="6" w16cid:durableId="1869492277">
    <w:abstractNumId w:val="8"/>
  </w:num>
  <w:num w:numId="7" w16cid:durableId="495993688">
    <w:abstractNumId w:val="0"/>
  </w:num>
  <w:num w:numId="8" w16cid:durableId="1250312198">
    <w:abstractNumId w:val="6"/>
  </w:num>
  <w:num w:numId="9" w16cid:durableId="409230441">
    <w:abstractNumId w:val="3"/>
  </w:num>
  <w:num w:numId="10" w16cid:durableId="314068544">
    <w:abstractNumId w:val="1"/>
  </w:num>
  <w:num w:numId="11" w16cid:durableId="897740742">
    <w:abstractNumId w:val="7"/>
  </w:num>
  <w:num w:numId="12" w16cid:durableId="2097357153">
    <w:abstractNumId w:val="5"/>
  </w:num>
  <w:num w:numId="13" w16cid:durableId="764809405">
    <w:abstractNumId w:val="11"/>
  </w:num>
  <w:num w:numId="14" w16cid:durableId="2136023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97"/>
    <w:rsid w:val="00004115"/>
    <w:rsid w:val="00013FFA"/>
    <w:rsid w:val="00015C33"/>
    <w:rsid w:val="00022563"/>
    <w:rsid w:val="00031EA1"/>
    <w:rsid w:val="00040B6A"/>
    <w:rsid w:val="00051C43"/>
    <w:rsid w:val="00053F25"/>
    <w:rsid w:val="0005480F"/>
    <w:rsid w:val="0006753D"/>
    <w:rsid w:val="00075FF0"/>
    <w:rsid w:val="0008707B"/>
    <w:rsid w:val="000A4E2C"/>
    <w:rsid w:val="000A60A0"/>
    <w:rsid w:val="000C1D4D"/>
    <w:rsid w:val="00104B2A"/>
    <w:rsid w:val="00107BB5"/>
    <w:rsid w:val="0011176D"/>
    <w:rsid w:val="001133FD"/>
    <w:rsid w:val="00121D7A"/>
    <w:rsid w:val="00132C5B"/>
    <w:rsid w:val="00137567"/>
    <w:rsid w:val="00140BCD"/>
    <w:rsid w:val="00142974"/>
    <w:rsid w:val="00146FF6"/>
    <w:rsid w:val="001603C7"/>
    <w:rsid w:val="00161FEA"/>
    <w:rsid w:val="00177BA4"/>
    <w:rsid w:val="00182624"/>
    <w:rsid w:val="0019223A"/>
    <w:rsid w:val="001A282C"/>
    <w:rsid w:val="001D08A5"/>
    <w:rsid w:val="001D2817"/>
    <w:rsid w:val="001D3A33"/>
    <w:rsid w:val="001D5401"/>
    <w:rsid w:val="001F08A7"/>
    <w:rsid w:val="00200A74"/>
    <w:rsid w:val="00262F78"/>
    <w:rsid w:val="00270359"/>
    <w:rsid w:val="00272FB7"/>
    <w:rsid w:val="00276091"/>
    <w:rsid w:val="00277919"/>
    <w:rsid w:val="00280349"/>
    <w:rsid w:val="0028588A"/>
    <w:rsid w:val="00290ACF"/>
    <w:rsid w:val="002A6A1A"/>
    <w:rsid w:val="002B73BD"/>
    <w:rsid w:val="002C02C1"/>
    <w:rsid w:val="002C683A"/>
    <w:rsid w:val="002D200C"/>
    <w:rsid w:val="002E33B9"/>
    <w:rsid w:val="002E7FFB"/>
    <w:rsid w:val="002F2B92"/>
    <w:rsid w:val="00302BD4"/>
    <w:rsid w:val="00310C75"/>
    <w:rsid w:val="00314EFF"/>
    <w:rsid w:val="00325124"/>
    <w:rsid w:val="00327B1A"/>
    <w:rsid w:val="00330298"/>
    <w:rsid w:val="0033575D"/>
    <w:rsid w:val="003421EC"/>
    <w:rsid w:val="00346AD4"/>
    <w:rsid w:val="003559D3"/>
    <w:rsid w:val="00362B10"/>
    <w:rsid w:val="00364D30"/>
    <w:rsid w:val="003727A3"/>
    <w:rsid w:val="00384ED9"/>
    <w:rsid w:val="003865F8"/>
    <w:rsid w:val="003A231F"/>
    <w:rsid w:val="003A2926"/>
    <w:rsid w:val="003A6A37"/>
    <w:rsid w:val="003C5A22"/>
    <w:rsid w:val="003D13D8"/>
    <w:rsid w:val="003D7528"/>
    <w:rsid w:val="003D7CB6"/>
    <w:rsid w:val="003E01FA"/>
    <w:rsid w:val="003F2780"/>
    <w:rsid w:val="003F6334"/>
    <w:rsid w:val="004019B8"/>
    <w:rsid w:val="00402C31"/>
    <w:rsid w:val="004046FC"/>
    <w:rsid w:val="00411199"/>
    <w:rsid w:val="00412AF7"/>
    <w:rsid w:val="004166DC"/>
    <w:rsid w:val="00433421"/>
    <w:rsid w:val="004336DD"/>
    <w:rsid w:val="0043413A"/>
    <w:rsid w:val="00446423"/>
    <w:rsid w:val="00447F40"/>
    <w:rsid w:val="004555B8"/>
    <w:rsid w:val="00466101"/>
    <w:rsid w:val="004701E5"/>
    <w:rsid w:val="00471764"/>
    <w:rsid w:val="00480617"/>
    <w:rsid w:val="004840F6"/>
    <w:rsid w:val="00485B2C"/>
    <w:rsid w:val="00495514"/>
    <w:rsid w:val="004A26B5"/>
    <w:rsid w:val="004C19BA"/>
    <w:rsid w:val="004D15C9"/>
    <w:rsid w:val="004D4448"/>
    <w:rsid w:val="004F0259"/>
    <w:rsid w:val="00502E8E"/>
    <w:rsid w:val="00522558"/>
    <w:rsid w:val="00526BC2"/>
    <w:rsid w:val="00534425"/>
    <w:rsid w:val="005433E0"/>
    <w:rsid w:val="00557A8B"/>
    <w:rsid w:val="00561A5B"/>
    <w:rsid w:val="00563916"/>
    <w:rsid w:val="00566BE9"/>
    <w:rsid w:val="005711CD"/>
    <w:rsid w:val="00572567"/>
    <w:rsid w:val="005849E3"/>
    <w:rsid w:val="0058713F"/>
    <w:rsid w:val="005A1645"/>
    <w:rsid w:val="005A3CA4"/>
    <w:rsid w:val="005C0665"/>
    <w:rsid w:val="005C5081"/>
    <w:rsid w:val="005D0179"/>
    <w:rsid w:val="005D06A7"/>
    <w:rsid w:val="005D4C90"/>
    <w:rsid w:val="005D5B9F"/>
    <w:rsid w:val="005F041C"/>
    <w:rsid w:val="005F14E9"/>
    <w:rsid w:val="005F2E7B"/>
    <w:rsid w:val="005F4900"/>
    <w:rsid w:val="0061055C"/>
    <w:rsid w:val="00610D23"/>
    <w:rsid w:val="00626639"/>
    <w:rsid w:val="00631002"/>
    <w:rsid w:val="00634939"/>
    <w:rsid w:val="006461F9"/>
    <w:rsid w:val="00671AE0"/>
    <w:rsid w:val="00677180"/>
    <w:rsid w:val="0069188A"/>
    <w:rsid w:val="006A2225"/>
    <w:rsid w:val="006A61FE"/>
    <w:rsid w:val="006A62C1"/>
    <w:rsid w:val="006A63DE"/>
    <w:rsid w:val="006B2C6A"/>
    <w:rsid w:val="006F4BE7"/>
    <w:rsid w:val="006F4DCF"/>
    <w:rsid w:val="007055A1"/>
    <w:rsid w:val="007119E8"/>
    <w:rsid w:val="00730CFB"/>
    <w:rsid w:val="00742901"/>
    <w:rsid w:val="00747AF9"/>
    <w:rsid w:val="00767896"/>
    <w:rsid w:val="00796661"/>
    <w:rsid w:val="007A39E5"/>
    <w:rsid w:val="007C6EB2"/>
    <w:rsid w:val="007E16FA"/>
    <w:rsid w:val="007E18CB"/>
    <w:rsid w:val="00832234"/>
    <w:rsid w:val="00834FD0"/>
    <w:rsid w:val="00843BC8"/>
    <w:rsid w:val="00860F94"/>
    <w:rsid w:val="00870DCF"/>
    <w:rsid w:val="00871734"/>
    <w:rsid w:val="008818EC"/>
    <w:rsid w:val="00885810"/>
    <w:rsid w:val="0088745A"/>
    <w:rsid w:val="008922CA"/>
    <w:rsid w:val="008A4466"/>
    <w:rsid w:val="008A67C5"/>
    <w:rsid w:val="008A68B5"/>
    <w:rsid w:val="008B24C1"/>
    <w:rsid w:val="008C23AF"/>
    <w:rsid w:val="008D15CA"/>
    <w:rsid w:val="008E0FD2"/>
    <w:rsid w:val="008F31DA"/>
    <w:rsid w:val="008F4609"/>
    <w:rsid w:val="00917D61"/>
    <w:rsid w:val="009324D5"/>
    <w:rsid w:val="00935A3C"/>
    <w:rsid w:val="00947A05"/>
    <w:rsid w:val="00952F07"/>
    <w:rsid w:val="00954BBA"/>
    <w:rsid w:val="009561BF"/>
    <w:rsid w:val="00967A3B"/>
    <w:rsid w:val="0097202A"/>
    <w:rsid w:val="00974E6D"/>
    <w:rsid w:val="009775D9"/>
    <w:rsid w:val="00982060"/>
    <w:rsid w:val="0098410C"/>
    <w:rsid w:val="00993E3B"/>
    <w:rsid w:val="009A3AC2"/>
    <w:rsid w:val="009A7A9A"/>
    <w:rsid w:val="009C4CAC"/>
    <w:rsid w:val="009D0165"/>
    <w:rsid w:val="00A10A67"/>
    <w:rsid w:val="00A11CB3"/>
    <w:rsid w:val="00A16B2F"/>
    <w:rsid w:val="00A2570B"/>
    <w:rsid w:val="00A43B27"/>
    <w:rsid w:val="00A4632C"/>
    <w:rsid w:val="00A50D1E"/>
    <w:rsid w:val="00A51BFC"/>
    <w:rsid w:val="00A5704B"/>
    <w:rsid w:val="00A73602"/>
    <w:rsid w:val="00A743ED"/>
    <w:rsid w:val="00A800D1"/>
    <w:rsid w:val="00A86568"/>
    <w:rsid w:val="00A947D4"/>
    <w:rsid w:val="00A94BE0"/>
    <w:rsid w:val="00AA2317"/>
    <w:rsid w:val="00AB1C28"/>
    <w:rsid w:val="00AB37CE"/>
    <w:rsid w:val="00AB43E2"/>
    <w:rsid w:val="00AB49A5"/>
    <w:rsid w:val="00AB6EB9"/>
    <w:rsid w:val="00AC1B26"/>
    <w:rsid w:val="00AE215C"/>
    <w:rsid w:val="00AE5940"/>
    <w:rsid w:val="00AE5CD8"/>
    <w:rsid w:val="00AF01E2"/>
    <w:rsid w:val="00B12033"/>
    <w:rsid w:val="00B122E7"/>
    <w:rsid w:val="00B122ED"/>
    <w:rsid w:val="00B136FE"/>
    <w:rsid w:val="00B34CE3"/>
    <w:rsid w:val="00B443E3"/>
    <w:rsid w:val="00B46A6B"/>
    <w:rsid w:val="00B55E09"/>
    <w:rsid w:val="00B87542"/>
    <w:rsid w:val="00BA56DD"/>
    <w:rsid w:val="00BA6A0F"/>
    <w:rsid w:val="00BB179D"/>
    <w:rsid w:val="00BB6CA9"/>
    <w:rsid w:val="00BD4EAB"/>
    <w:rsid w:val="00BE00B0"/>
    <w:rsid w:val="00BE0D31"/>
    <w:rsid w:val="00BE2B77"/>
    <w:rsid w:val="00BE4B9D"/>
    <w:rsid w:val="00BF7DF7"/>
    <w:rsid w:val="00C30CE9"/>
    <w:rsid w:val="00C3362A"/>
    <w:rsid w:val="00C65722"/>
    <w:rsid w:val="00C7335F"/>
    <w:rsid w:val="00C858A3"/>
    <w:rsid w:val="00C973DE"/>
    <w:rsid w:val="00CA42AF"/>
    <w:rsid w:val="00CB5467"/>
    <w:rsid w:val="00CC4BD3"/>
    <w:rsid w:val="00CD5605"/>
    <w:rsid w:val="00CE1D21"/>
    <w:rsid w:val="00CF5A4D"/>
    <w:rsid w:val="00D02596"/>
    <w:rsid w:val="00D13821"/>
    <w:rsid w:val="00D20E02"/>
    <w:rsid w:val="00D21096"/>
    <w:rsid w:val="00D2297E"/>
    <w:rsid w:val="00D23048"/>
    <w:rsid w:val="00D26995"/>
    <w:rsid w:val="00D32D16"/>
    <w:rsid w:val="00D36E98"/>
    <w:rsid w:val="00D47925"/>
    <w:rsid w:val="00D47F61"/>
    <w:rsid w:val="00D92D37"/>
    <w:rsid w:val="00DA19B1"/>
    <w:rsid w:val="00DA4EDD"/>
    <w:rsid w:val="00DA5120"/>
    <w:rsid w:val="00DB016F"/>
    <w:rsid w:val="00DC2739"/>
    <w:rsid w:val="00DC7897"/>
    <w:rsid w:val="00DD390C"/>
    <w:rsid w:val="00DE4471"/>
    <w:rsid w:val="00DF6A29"/>
    <w:rsid w:val="00E2483A"/>
    <w:rsid w:val="00E25AD2"/>
    <w:rsid w:val="00E263E5"/>
    <w:rsid w:val="00E27B4B"/>
    <w:rsid w:val="00E521E9"/>
    <w:rsid w:val="00E526F7"/>
    <w:rsid w:val="00E6295D"/>
    <w:rsid w:val="00E62C18"/>
    <w:rsid w:val="00E62C80"/>
    <w:rsid w:val="00EA3029"/>
    <w:rsid w:val="00EA576C"/>
    <w:rsid w:val="00EA6EFB"/>
    <w:rsid w:val="00ED3481"/>
    <w:rsid w:val="00ED6B97"/>
    <w:rsid w:val="00EE0121"/>
    <w:rsid w:val="00EF12C8"/>
    <w:rsid w:val="00F0639D"/>
    <w:rsid w:val="00F077CF"/>
    <w:rsid w:val="00F14B08"/>
    <w:rsid w:val="00F26B4F"/>
    <w:rsid w:val="00F35141"/>
    <w:rsid w:val="00F42091"/>
    <w:rsid w:val="00F455F2"/>
    <w:rsid w:val="00F50760"/>
    <w:rsid w:val="00F572C7"/>
    <w:rsid w:val="00F615E3"/>
    <w:rsid w:val="00F61A5B"/>
    <w:rsid w:val="00F7095C"/>
    <w:rsid w:val="00F75390"/>
    <w:rsid w:val="00FA7E90"/>
    <w:rsid w:val="00FB185E"/>
    <w:rsid w:val="00FC7F1C"/>
    <w:rsid w:val="00FD1EA7"/>
    <w:rsid w:val="00FD3684"/>
    <w:rsid w:val="00FE51F1"/>
    <w:rsid w:val="00FF5B7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6E7DDDB"/>
  <w14:defaultImageDpi w14:val="300"/>
  <w15:docId w15:val="{2FC0ECC6-0751-D34F-BB58-0FF7D8C3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8C23AF"/>
    <w:pPr>
      <w:spacing w:line="240" w:lineRule="atLeast"/>
    </w:pPr>
    <w:rPr>
      <w:rFonts w:ascii="Arial" w:hAnsi="Arial"/>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073D2"/>
    <w:pPr>
      <w:tabs>
        <w:tab w:val="center" w:pos="4153"/>
        <w:tab w:val="right" w:pos="8306"/>
      </w:tabs>
      <w:spacing w:line="220" w:lineRule="atLeast"/>
      <w:ind w:right="-142"/>
      <w:jc w:val="right"/>
    </w:pPr>
    <w:rPr>
      <w:b/>
      <w:sz w:val="18"/>
    </w:rPr>
  </w:style>
  <w:style w:type="paragraph" w:styleId="Voettekst">
    <w:name w:val="footer"/>
    <w:basedOn w:val="Koptekst"/>
    <w:link w:val="VoettekstChar"/>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z-inspring">
    <w:name w:val="evz-inspring"/>
    <w:basedOn w:val="Standaard"/>
    <w:qFormat/>
    <w:rsid w:val="00376E11"/>
    <w:pPr>
      <w:spacing w:line="200" w:lineRule="atLeast"/>
      <w:ind w:left="284" w:hanging="284"/>
    </w:pPr>
    <w:rPr>
      <w:sz w:val="16"/>
    </w:rPr>
  </w:style>
  <w:style w:type="paragraph" w:styleId="Lijstalinea">
    <w:name w:val="List Paragraph"/>
    <w:basedOn w:val="Standaard"/>
    <w:uiPriority w:val="34"/>
    <w:qFormat/>
    <w:rsid w:val="00480617"/>
    <w:pPr>
      <w:ind w:left="720"/>
      <w:contextualSpacing/>
    </w:pPr>
  </w:style>
  <w:style w:type="paragraph" w:styleId="Ballontekst">
    <w:name w:val="Balloon Text"/>
    <w:basedOn w:val="Standaard"/>
    <w:link w:val="BallontekstChar"/>
    <w:semiHidden/>
    <w:unhideWhenUsed/>
    <w:rsid w:val="0008707B"/>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8707B"/>
    <w:rPr>
      <w:color w:val="333333"/>
      <w:sz w:val="18"/>
      <w:szCs w:val="18"/>
      <w:lang w:eastAsia="en-US"/>
    </w:rPr>
  </w:style>
  <w:style w:type="character" w:customStyle="1" w:styleId="VoettekstChar">
    <w:name w:val="Voettekst Char"/>
    <w:basedOn w:val="Standaardalinea-lettertype"/>
    <w:link w:val="Voettekst"/>
    <w:rsid w:val="000C1D4D"/>
    <w:rPr>
      <w:rFonts w:ascii="Arial" w:hAnsi="Arial"/>
      <w:color w:val="333333"/>
      <w:sz w:val="18"/>
      <w:lang w:eastAsia="en-US"/>
    </w:rPr>
  </w:style>
  <w:style w:type="character" w:customStyle="1" w:styleId="KoptekstChar">
    <w:name w:val="Koptekst Char"/>
    <w:basedOn w:val="Standaardalinea-lettertype"/>
    <w:link w:val="Koptekst"/>
    <w:rsid w:val="004166DC"/>
    <w:rPr>
      <w:rFonts w:ascii="Arial" w:hAnsi="Arial"/>
      <w:b/>
      <w:color w:val="333333"/>
      <w:sz w:val="18"/>
      <w:lang w:eastAsia="en-US"/>
    </w:rPr>
  </w:style>
  <w:style w:type="character" w:customStyle="1" w:styleId="LijstInTabelCharChar">
    <w:name w:val="LijstInTabel Char Char"/>
    <w:basedOn w:val="Standaardalinea-lettertype"/>
    <w:link w:val="LijstInTabel"/>
    <w:uiPriority w:val="99"/>
    <w:locked/>
    <w:rsid w:val="005F041C"/>
    <w:rPr>
      <w:sz w:val="18"/>
    </w:rPr>
  </w:style>
  <w:style w:type="paragraph" w:customStyle="1" w:styleId="LijstInTabel">
    <w:name w:val="LijstInTabel"/>
    <w:basedOn w:val="Standaard"/>
    <w:link w:val="LijstInTabelCharChar"/>
    <w:uiPriority w:val="99"/>
    <w:rsid w:val="005F041C"/>
    <w:pPr>
      <w:keepLines/>
      <w:numPr>
        <w:numId w:val="10"/>
      </w:numPr>
      <w:spacing w:line="240" w:lineRule="auto"/>
    </w:pPr>
    <w:rPr>
      <w:rFonts w:ascii="Times New Roman" w:hAnsi="Times New Roman"/>
      <w:sz w:val="18"/>
      <w:lang w:eastAsia="nl-NL"/>
    </w:rPr>
  </w:style>
  <w:style w:type="paragraph" w:customStyle="1" w:styleId="Opsom-streepjes">
    <w:name w:val="Opsom-streepjes"/>
    <w:basedOn w:val="Lijstalinea"/>
    <w:qFormat/>
    <w:rsid w:val="005F041C"/>
    <w:pPr>
      <w:spacing w:line="240" w:lineRule="auto"/>
      <w:ind w:left="284" w:hanging="284"/>
    </w:pPr>
    <w:rPr>
      <w:rFonts w:eastAsiaTheme="minorHAnsi" w:cs="Arial"/>
      <w:sz w:val="16"/>
      <w:szCs w:val="16"/>
    </w:rPr>
  </w:style>
  <w:style w:type="paragraph" w:styleId="Revisie">
    <w:name w:val="Revision"/>
    <w:hidden/>
    <w:semiHidden/>
    <w:rsid w:val="00330298"/>
    <w:rPr>
      <w:rFonts w:ascii="Arial" w:hAnsi="Arial"/>
      <w:lang w:eastAsia="en-US"/>
    </w:rPr>
  </w:style>
  <w:style w:type="character" w:styleId="Verwijzingopmerking">
    <w:name w:val="annotation reference"/>
    <w:basedOn w:val="Standaardalinea-lettertype"/>
    <w:semiHidden/>
    <w:unhideWhenUsed/>
    <w:rsid w:val="00F35141"/>
    <w:rPr>
      <w:sz w:val="16"/>
      <w:szCs w:val="16"/>
    </w:rPr>
  </w:style>
  <w:style w:type="paragraph" w:styleId="Tekstopmerking">
    <w:name w:val="annotation text"/>
    <w:basedOn w:val="Standaard"/>
    <w:link w:val="TekstopmerkingChar"/>
    <w:semiHidden/>
    <w:unhideWhenUsed/>
    <w:rsid w:val="00F35141"/>
    <w:pPr>
      <w:spacing w:line="240" w:lineRule="auto"/>
    </w:pPr>
  </w:style>
  <w:style w:type="character" w:customStyle="1" w:styleId="TekstopmerkingChar">
    <w:name w:val="Tekst opmerking Char"/>
    <w:basedOn w:val="Standaardalinea-lettertype"/>
    <w:link w:val="Tekstopmerking"/>
    <w:semiHidden/>
    <w:rsid w:val="00F35141"/>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F35141"/>
    <w:rPr>
      <w:b/>
      <w:bCs/>
    </w:rPr>
  </w:style>
  <w:style w:type="character" w:customStyle="1" w:styleId="OnderwerpvanopmerkingChar">
    <w:name w:val="Onderwerp van opmerking Char"/>
    <w:basedOn w:val="TekstopmerkingChar"/>
    <w:link w:val="Onderwerpvanopmerking"/>
    <w:semiHidden/>
    <w:rsid w:val="00F3514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FWERKMAP/afwerkmap-SL/CAOSPORT/%20sjabloon%20CAOSPORT%20referentiefunct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7d80d-ff42-4f2f-8636-c8c382293fce" xsi:nil="true"/>
    <lcf76f155ced4ddcb4097134ff3c332f xmlns="51066a99-ce0f-424e-b28f-e7e30c9ead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18" ma:contentTypeDescription="Een nieuw document maken." ma:contentTypeScope="" ma:versionID="3b31623570681c10e8e30180c8ae307e">
  <xsd:schema xmlns:xsd="http://www.w3.org/2001/XMLSchema" xmlns:xs="http://www.w3.org/2001/XMLSchema" xmlns:p="http://schemas.microsoft.com/office/2006/metadata/properties" xmlns:ns2="51066a99-ce0f-424e-b28f-e7e30c9ead97" xmlns:ns3="7f17d80d-ff42-4f2f-8636-c8c382293fce" targetNamespace="http://schemas.microsoft.com/office/2006/metadata/properties" ma:root="true" ma:fieldsID="4f12a414ded5a730f1ac344c0ab59003" ns2:_="" ns3:_="">
    <xsd:import namespace="51066a99-ce0f-424e-b28f-e7e30c9ead97"/>
    <xsd:import namespace="7f17d80d-ff42-4f2f-8636-c8c382293f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7d80d-ff42-4f2f-8636-c8c382293fce"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8a8c965-9148-4ae6-9796-404461d71488}" ma:internalName="TaxCatchAll" ma:showField="CatchAllData" ma:web="7f17d80d-ff42-4f2f-8636-c8c382293f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9A751-00CB-4E16-A87A-48053EEAB839}">
  <ds:schemaRefs>
    <ds:schemaRef ds:uri="http://schemas.microsoft.com/sharepoint/v3/contenttype/forms"/>
  </ds:schemaRefs>
</ds:datastoreItem>
</file>

<file path=customXml/itemProps2.xml><?xml version="1.0" encoding="utf-8"?>
<ds:datastoreItem xmlns:ds="http://schemas.openxmlformats.org/officeDocument/2006/customXml" ds:itemID="{471EAABD-F746-49A6-9DD0-700A1C4B04F2}">
  <ds:schemaRefs>
    <ds:schemaRef ds:uri="http://schemas.microsoft.com/office/2006/metadata/properties"/>
    <ds:schemaRef ds:uri="http://schemas.microsoft.com/office/infopath/2007/PartnerControls"/>
    <ds:schemaRef ds:uri="49540f6f-c3fa-4d8b-8526-7747a753ae91"/>
    <ds:schemaRef ds:uri="7e7d4b85-0103-4ac5-8dde-d40d672a523a"/>
  </ds:schemaRefs>
</ds:datastoreItem>
</file>

<file path=customXml/itemProps3.xml><?xml version="1.0" encoding="utf-8"?>
<ds:datastoreItem xmlns:ds="http://schemas.openxmlformats.org/officeDocument/2006/customXml" ds:itemID="{1AF4E938-E1CF-4D9B-9497-09D4363D0FED}"/>
</file>

<file path=docProps/app.xml><?xml version="1.0" encoding="utf-8"?>
<Properties xmlns="http://schemas.openxmlformats.org/officeDocument/2006/extended-properties" xmlns:vt="http://schemas.openxmlformats.org/officeDocument/2006/docPropsVTypes">
  <Template> sjabloon CAOSPORT referentiefunctie.dotx</Template>
  <TotalTime>64</TotalTime>
  <Pages>2</Pages>
  <Words>611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RESULTAATPROFIEL</vt:lpstr>
    </vt:vector>
  </TitlesOfParts>
  <Company>EVZ Organisatie-adviseurs</Company>
  <LinksUpToDate>false</LinksUpToDate>
  <CharactersWithSpaces>4893</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 EVZ</dc:creator>
  <cp:keywords/>
  <cp:lastModifiedBy>Els de Kort | EVZ organisatie-advies</cp:lastModifiedBy>
  <cp:revision>67</cp:revision>
  <cp:lastPrinted>2024-03-04T16:14:00Z</cp:lastPrinted>
  <dcterms:created xsi:type="dcterms:W3CDTF">2018-10-12T11:46:00Z</dcterms:created>
  <dcterms:modified xsi:type="dcterms:W3CDTF">2024-03-19T10:31:00Z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0x010100B463CE315D4FEE42B479775A9EE17283</vt:lpwstr>
  </property>
  <property fmtid="{D5CDD505-2E9C-101B-9397-08002B2CF9AE}" pid="3" name="Order">
    <vt:r8>8063800</vt:r8>
  </property>
  <property fmtid="{D5CDD505-2E9C-101B-9397-08002B2CF9AE}" pid="4" name="MediaServiceImageTags">
    <vt:lpwstr/>
  </property>
</Properties>
</file>